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B2C162">
      <w:pPr>
        <w:jc w:val="center"/>
        <w:rPr>
          <w:rFonts w:eastAsia="仿宋_GB2312"/>
          <w:sz w:val="72"/>
          <w:szCs w:val="72"/>
        </w:rPr>
      </w:pPr>
    </w:p>
    <w:p w14:paraId="5CA2F31D">
      <w:pPr>
        <w:jc w:val="center"/>
        <w:rPr>
          <w:rFonts w:eastAsia="黑体"/>
          <w:sz w:val="72"/>
          <w:szCs w:val="72"/>
        </w:rPr>
      </w:pPr>
    </w:p>
    <w:p w14:paraId="3E556E55">
      <w:pPr>
        <w:jc w:val="center"/>
        <w:rPr>
          <w:rFonts w:eastAsia="黑体"/>
          <w:sz w:val="72"/>
          <w:szCs w:val="72"/>
        </w:rPr>
      </w:pPr>
    </w:p>
    <w:p w14:paraId="0B4220C0">
      <w:pPr>
        <w:jc w:val="center"/>
        <w:rPr>
          <w:rFonts w:eastAsia="黑体"/>
          <w:sz w:val="52"/>
          <w:szCs w:val="72"/>
        </w:rPr>
      </w:pPr>
      <w:r>
        <w:rPr>
          <w:rFonts w:eastAsia="黑体"/>
          <w:sz w:val="52"/>
          <w:szCs w:val="72"/>
        </w:rPr>
        <w:t>靖江市生物多样性保护规划</w:t>
      </w:r>
    </w:p>
    <w:p w14:paraId="3FFCA523">
      <w:pPr>
        <w:jc w:val="center"/>
        <w:rPr>
          <w:rFonts w:eastAsia="黑体"/>
          <w:sz w:val="52"/>
          <w:szCs w:val="72"/>
        </w:rPr>
      </w:pPr>
      <w:r>
        <w:rPr>
          <w:rFonts w:eastAsia="黑体"/>
          <w:sz w:val="52"/>
          <w:szCs w:val="72"/>
        </w:rPr>
        <w:t>（2024—2035年）</w:t>
      </w:r>
    </w:p>
    <w:p w14:paraId="65ABA7E0">
      <w:pPr>
        <w:jc w:val="center"/>
        <w:rPr>
          <w:rFonts w:eastAsia="黑体"/>
          <w:sz w:val="52"/>
          <w:szCs w:val="72"/>
        </w:rPr>
      </w:pPr>
      <w:r>
        <w:rPr>
          <w:rFonts w:eastAsia="黑体"/>
          <w:sz w:val="52"/>
          <w:szCs w:val="72"/>
        </w:rPr>
        <w:t>（报批稿）</w:t>
      </w:r>
    </w:p>
    <w:p w14:paraId="2064EB4C">
      <w:pPr>
        <w:jc w:val="center"/>
        <w:rPr>
          <w:rFonts w:eastAsia="黑体"/>
          <w:sz w:val="72"/>
          <w:szCs w:val="72"/>
        </w:rPr>
      </w:pPr>
    </w:p>
    <w:p w14:paraId="542BC3D4">
      <w:pPr>
        <w:jc w:val="center"/>
        <w:rPr>
          <w:rFonts w:eastAsia="黑体"/>
          <w:sz w:val="72"/>
          <w:szCs w:val="72"/>
        </w:rPr>
      </w:pPr>
    </w:p>
    <w:p w14:paraId="79ECF7A6">
      <w:pPr>
        <w:jc w:val="center"/>
        <w:rPr>
          <w:rFonts w:eastAsia="黑体"/>
          <w:sz w:val="72"/>
          <w:szCs w:val="72"/>
        </w:rPr>
      </w:pPr>
    </w:p>
    <w:p w14:paraId="66F1888F">
      <w:pPr>
        <w:jc w:val="center"/>
        <w:rPr>
          <w:rFonts w:eastAsia="仿宋_GB2312"/>
          <w:sz w:val="72"/>
          <w:szCs w:val="72"/>
        </w:rPr>
      </w:pPr>
    </w:p>
    <w:p w14:paraId="61BDD7C1">
      <w:pPr>
        <w:pStyle w:val="4"/>
        <w:ind w:firstLine="0"/>
        <w:rPr>
          <w:rFonts w:ascii="Times New Roman" w:hAnsi="Times New Roman" w:eastAsia="仿宋_GB2312"/>
          <w:sz w:val="72"/>
          <w:szCs w:val="72"/>
        </w:rPr>
      </w:pPr>
    </w:p>
    <w:p w14:paraId="5163E12C">
      <w:pPr>
        <w:pStyle w:val="4"/>
        <w:ind w:left="0" w:firstLine="0"/>
        <w:rPr>
          <w:rFonts w:ascii="Times New Roman" w:hAnsi="Times New Roman" w:eastAsia="仿宋_GB2312"/>
          <w:sz w:val="72"/>
          <w:szCs w:val="72"/>
        </w:rPr>
      </w:pPr>
    </w:p>
    <w:p w14:paraId="5B38ACED">
      <w:pPr>
        <w:spacing w:line="720" w:lineRule="auto"/>
        <w:jc w:val="center"/>
        <w:rPr>
          <w:rFonts w:eastAsia="仿宋_GB2312"/>
          <w:b/>
          <w:sz w:val="28"/>
          <w:szCs w:val="32"/>
        </w:rPr>
      </w:pPr>
      <w:r>
        <w:rPr>
          <w:rFonts w:eastAsia="仿宋_GB2312"/>
          <w:b/>
          <w:sz w:val="28"/>
          <w:szCs w:val="32"/>
        </w:rPr>
        <w:t>生态环境部南京环境科学研究所</w:t>
      </w:r>
    </w:p>
    <w:p w14:paraId="7554C8AD">
      <w:pPr>
        <w:jc w:val="center"/>
        <w:rPr>
          <w:rFonts w:eastAsia="仿宋_GB2312"/>
          <w:b/>
          <w:sz w:val="32"/>
          <w:szCs w:val="40"/>
        </w:rPr>
      </w:pPr>
      <w:r>
        <w:rPr>
          <w:rFonts w:eastAsia="仿宋_GB2312"/>
          <w:b/>
          <w:sz w:val="28"/>
          <w:szCs w:val="40"/>
        </w:rPr>
        <w:t>二〇二四年十二月</w:t>
      </w:r>
    </w:p>
    <w:p w14:paraId="1E91752F">
      <w:pPr>
        <w:jc w:val="center"/>
        <w:rPr>
          <w:rFonts w:eastAsia="仿宋_GB2312"/>
          <w:b/>
          <w:sz w:val="28"/>
          <w:szCs w:val="36"/>
        </w:rPr>
        <w:sectPr>
          <w:footerReference r:id="rId3" w:type="default"/>
          <w:pgSz w:w="11906" w:h="16838"/>
          <w:pgMar w:top="1440" w:right="1797" w:bottom="1440" w:left="1797" w:header="851" w:footer="992" w:gutter="0"/>
          <w:pgNumType w:start="1"/>
          <w:cols w:space="425" w:num="1"/>
          <w:titlePg/>
          <w:docGrid w:type="linesAndChars" w:linePitch="326" w:charSpace="0"/>
        </w:sectPr>
      </w:pPr>
    </w:p>
    <w:p w14:paraId="6ECFA5C8">
      <w:pPr>
        <w:keepNext/>
        <w:keepLines/>
        <w:widowControl w:val="0"/>
        <w:spacing w:before="100" w:beforeAutospacing="1" w:after="100" w:afterAutospacing="1" w:line="590" w:lineRule="exact"/>
        <w:jc w:val="center"/>
        <w:rPr>
          <w:rFonts w:eastAsia="仿宋_GB2312"/>
          <w:b/>
          <w:bCs/>
          <w:kern w:val="44"/>
          <w:sz w:val="32"/>
          <w:szCs w:val="44"/>
        </w:rPr>
      </w:pPr>
      <w:bookmarkStart w:id="0" w:name="_Toc177649832"/>
      <w:bookmarkStart w:id="1" w:name="_Toc124097994"/>
      <w:bookmarkStart w:id="2" w:name="_Toc123051052"/>
      <w:r>
        <w:rPr>
          <w:rFonts w:eastAsia="仿宋_GB2312"/>
          <w:b/>
          <w:bCs/>
          <w:kern w:val="44"/>
          <w:sz w:val="32"/>
          <w:szCs w:val="44"/>
        </w:rPr>
        <w:t>目录</w:t>
      </w:r>
      <w:bookmarkEnd w:id="0"/>
    </w:p>
    <w:sdt>
      <w:sdtPr>
        <w:rPr>
          <w:rFonts w:eastAsia="仿宋_GB2312"/>
          <w:sz w:val="21"/>
        </w:rPr>
        <w:id w:val="147475414"/>
        <w:docPartObj>
          <w:docPartGallery w:val="Table of Contents"/>
          <w:docPartUnique/>
        </w:docPartObj>
      </w:sdtPr>
      <w:sdtEndPr>
        <w:rPr>
          <w:rFonts w:eastAsia="仿宋_GB2312"/>
          <w:bCs/>
          <w:kern w:val="44"/>
          <w:sz w:val="32"/>
          <w:szCs w:val="32"/>
        </w:rPr>
      </w:sdtEndPr>
      <w:sdtContent>
        <w:p w14:paraId="1D70DE1B">
          <w:pPr>
            <w:pStyle w:val="9"/>
            <w:tabs>
              <w:tab w:val="right" w:leader="dot" w:pos="8306"/>
            </w:tabs>
            <w:rPr>
              <w:rFonts w:eastAsia="仿宋_GB2312"/>
              <w:bCs/>
              <w:kern w:val="44"/>
              <w:sz w:val="32"/>
              <w:szCs w:val="32"/>
            </w:rPr>
          </w:pPr>
          <w:r>
            <w:rPr>
              <w:rFonts w:eastAsia="仿宋_GB2312"/>
              <w:bCs/>
              <w:kern w:val="44"/>
              <w:sz w:val="32"/>
              <w:szCs w:val="32"/>
            </w:rPr>
            <w:fldChar w:fldCharType="begin"/>
          </w:r>
          <w:r>
            <w:rPr>
              <w:rFonts w:eastAsia="仿宋_GB2312"/>
              <w:bCs/>
              <w:kern w:val="44"/>
              <w:sz w:val="32"/>
              <w:szCs w:val="32"/>
            </w:rPr>
            <w:instrText xml:space="preserve">TOC \o "1-2" \h \u </w:instrText>
          </w:r>
          <w:r>
            <w:rPr>
              <w:rFonts w:eastAsia="仿宋_GB2312"/>
              <w:bCs/>
              <w:kern w:val="44"/>
              <w:sz w:val="32"/>
              <w:szCs w:val="32"/>
            </w:rPr>
            <w:fldChar w:fldCharType="separate"/>
          </w:r>
        </w:p>
        <w:p w14:paraId="5CDA3AFA">
          <w:pPr>
            <w:pStyle w:val="9"/>
            <w:tabs>
              <w:tab w:val="right" w:leader="dot" w:pos="8306"/>
            </w:tabs>
            <w:rPr>
              <w:sz w:val="28"/>
              <w:szCs w:val="28"/>
            </w:rPr>
          </w:pPr>
          <w:r>
            <w:fldChar w:fldCharType="begin"/>
          </w:r>
          <w:r>
            <w:instrText xml:space="preserve"> HYPERLINK \l "_Toc3557" </w:instrText>
          </w:r>
          <w:r>
            <w:fldChar w:fldCharType="separate"/>
          </w:r>
          <w:r>
            <w:rPr>
              <w:rFonts w:eastAsia="仿宋_GB2312"/>
              <w:bCs/>
              <w:kern w:val="44"/>
              <w:sz w:val="28"/>
              <w:szCs w:val="48"/>
            </w:rPr>
            <w:t>前言</w:t>
          </w:r>
          <w:r>
            <w:rPr>
              <w:sz w:val="28"/>
              <w:szCs w:val="28"/>
            </w:rPr>
            <w:tab/>
          </w:r>
          <w:r>
            <w:rPr>
              <w:sz w:val="28"/>
              <w:szCs w:val="28"/>
            </w:rPr>
            <w:fldChar w:fldCharType="begin"/>
          </w:r>
          <w:r>
            <w:rPr>
              <w:sz w:val="28"/>
              <w:szCs w:val="28"/>
            </w:rPr>
            <w:instrText xml:space="preserve"> PAGEREF _Toc3557 \h </w:instrText>
          </w:r>
          <w:r>
            <w:rPr>
              <w:sz w:val="28"/>
              <w:szCs w:val="28"/>
            </w:rPr>
            <w:fldChar w:fldCharType="separate"/>
          </w:r>
          <w:r>
            <w:rPr>
              <w:sz w:val="28"/>
              <w:szCs w:val="28"/>
            </w:rPr>
            <w:t>1</w:t>
          </w:r>
          <w:r>
            <w:rPr>
              <w:sz w:val="28"/>
              <w:szCs w:val="28"/>
            </w:rPr>
            <w:fldChar w:fldCharType="end"/>
          </w:r>
          <w:r>
            <w:rPr>
              <w:sz w:val="28"/>
              <w:szCs w:val="28"/>
            </w:rPr>
            <w:fldChar w:fldCharType="end"/>
          </w:r>
        </w:p>
        <w:p w14:paraId="7F5F5F1F">
          <w:pPr>
            <w:pStyle w:val="9"/>
            <w:tabs>
              <w:tab w:val="right" w:leader="dot" w:pos="8306"/>
            </w:tabs>
            <w:rPr>
              <w:sz w:val="28"/>
              <w:szCs w:val="28"/>
            </w:rPr>
          </w:pPr>
          <w:r>
            <w:fldChar w:fldCharType="begin"/>
          </w:r>
          <w:r>
            <w:instrText xml:space="preserve"> HYPERLINK \l "_Toc11826" </w:instrText>
          </w:r>
          <w:r>
            <w:fldChar w:fldCharType="separate"/>
          </w:r>
          <w:r>
            <w:rPr>
              <w:rFonts w:eastAsia="仿宋_GB2312"/>
              <w:bCs/>
              <w:kern w:val="44"/>
              <w:sz w:val="28"/>
              <w:szCs w:val="48"/>
            </w:rPr>
            <w:t>第一章 区域概况</w:t>
          </w:r>
          <w:r>
            <w:rPr>
              <w:sz w:val="28"/>
              <w:szCs w:val="28"/>
            </w:rPr>
            <w:tab/>
          </w:r>
          <w:r>
            <w:rPr>
              <w:sz w:val="28"/>
              <w:szCs w:val="28"/>
            </w:rPr>
            <w:fldChar w:fldCharType="begin"/>
          </w:r>
          <w:r>
            <w:rPr>
              <w:sz w:val="28"/>
              <w:szCs w:val="28"/>
            </w:rPr>
            <w:instrText xml:space="preserve"> PAGEREF _Toc11826 \h </w:instrText>
          </w:r>
          <w:r>
            <w:rPr>
              <w:sz w:val="28"/>
              <w:szCs w:val="28"/>
            </w:rPr>
            <w:fldChar w:fldCharType="separate"/>
          </w:r>
          <w:r>
            <w:rPr>
              <w:sz w:val="28"/>
              <w:szCs w:val="28"/>
            </w:rPr>
            <w:t>3</w:t>
          </w:r>
          <w:r>
            <w:rPr>
              <w:sz w:val="28"/>
              <w:szCs w:val="28"/>
            </w:rPr>
            <w:fldChar w:fldCharType="end"/>
          </w:r>
          <w:r>
            <w:rPr>
              <w:sz w:val="28"/>
              <w:szCs w:val="28"/>
            </w:rPr>
            <w:fldChar w:fldCharType="end"/>
          </w:r>
        </w:p>
        <w:p w14:paraId="78DAE33F">
          <w:pPr>
            <w:pStyle w:val="12"/>
            <w:tabs>
              <w:tab w:val="right" w:leader="dot" w:pos="8306"/>
            </w:tabs>
            <w:ind w:left="480"/>
            <w:rPr>
              <w:sz w:val="28"/>
              <w:szCs w:val="28"/>
            </w:rPr>
          </w:pPr>
          <w:r>
            <w:fldChar w:fldCharType="begin"/>
          </w:r>
          <w:r>
            <w:instrText xml:space="preserve"> HYPERLINK \l "_Toc32611" </w:instrText>
          </w:r>
          <w:r>
            <w:fldChar w:fldCharType="separate"/>
          </w:r>
          <w:r>
            <w:rPr>
              <w:rFonts w:eastAsia="仿宋_GB2312"/>
              <w:bCs/>
              <w:kern w:val="2"/>
              <w:sz w:val="28"/>
              <w:szCs w:val="32"/>
            </w:rPr>
            <w:t>1.1 自然地理环境</w:t>
          </w:r>
          <w:r>
            <w:rPr>
              <w:sz w:val="28"/>
              <w:szCs w:val="28"/>
            </w:rPr>
            <w:tab/>
          </w:r>
          <w:r>
            <w:rPr>
              <w:sz w:val="28"/>
              <w:szCs w:val="28"/>
            </w:rPr>
            <w:fldChar w:fldCharType="begin"/>
          </w:r>
          <w:r>
            <w:rPr>
              <w:sz w:val="28"/>
              <w:szCs w:val="28"/>
            </w:rPr>
            <w:instrText xml:space="preserve"> PAGEREF _Toc32611 \h </w:instrText>
          </w:r>
          <w:r>
            <w:rPr>
              <w:sz w:val="28"/>
              <w:szCs w:val="28"/>
            </w:rPr>
            <w:fldChar w:fldCharType="separate"/>
          </w:r>
          <w:r>
            <w:rPr>
              <w:sz w:val="28"/>
              <w:szCs w:val="28"/>
            </w:rPr>
            <w:t>3</w:t>
          </w:r>
          <w:r>
            <w:rPr>
              <w:sz w:val="28"/>
              <w:szCs w:val="28"/>
            </w:rPr>
            <w:fldChar w:fldCharType="end"/>
          </w:r>
          <w:r>
            <w:rPr>
              <w:sz w:val="28"/>
              <w:szCs w:val="28"/>
            </w:rPr>
            <w:fldChar w:fldCharType="end"/>
          </w:r>
        </w:p>
        <w:p w14:paraId="3B38E095">
          <w:pPr>
            <w:pStyle w:val="12"/>
            <w:tabs>
              <w:tab w:val="right" w:leader="dot" w:pos="8306"/>
            </w:tabs>
            <w:ind w:left="480"/>
            <w:rPr>
              <w:sz w:val="28"/>
              <w:szCs w:val="28"/>
            </w:rPr>
          </w:pPr>
          <w:r>
            <w:fldChar w:fldCharType="begin"/>
          </w:r>
          <w:r>
            <w:instrText xml:space="preserve"> HYPERLINK \l "_Toc21882" </w:instrText>
          </w:r>
          <w:r>
            <w:fldChar w:fldCharType="separate"/>
          </w:r>
          <w:r>
            <w:rPr>
              <w:rFonts w:eastAsia="仿宋_GB2312"/>
              <w:bCs/>
              <w:kern w:val="2"/>
              <w:sz w:val="28"/>
              <w:szCs w:val="32"/>
            </w:rPr>
            <w:t>1.2 社会经济发展概况</w:t>
          </w:r>
          <w:r>
            <w:rPr>
              <w:sz w:val="28"/>
              <w:szCs w:val="28"/>
            </w:rPr>
            <w:tab/>
          </w:r>
          <w:r>
            <w:rPr>
              <w:sz w:val="28"/>
              <w:szCs w:val="28"/>
            </w:rPr>
            <w:fldChar w:fldCharType="begin"/>
          </w:r>
          <w:r>
            <w:rPr>
              <w:sz w:val="28"/>
              <w:szCs w:val="28"/>
            </w:rPr>
            <w:instrText xml:space="preserve"> PAGEREF _Toc21882 \h </w:instrText>
          </w:r>
          <w:r>
            <w:rPr>
              <w:sz w:val="28"/>
              <w:szCs w:val="28"/>
            </w:rPr>
            <w:fldChar w:fldCharType="separate"/>
          </w:r>
          <w:r>
            <w:rPr>
              <w:sz w:val="28"/>
              <w:szCs w:val="28"/>
            </w:rPr>
            <w:t>4</w:t>
          </w:r>
          <w:r>
            <w:rPr>
              <w:sz w:val="28"/>
              <w:szCs w:val="28"/>
            </w:rPr>
            <w:fldChar w:fldCharType="end"/>
          </w:r>
          <w:r>
            <w:rPr>
              <w:sz w:val="28"/>
              <w:szCs w:val="28"/>
            </w:rPr>
            <w:fldChar w:fldCharType="end"/>
          </w:r>
        </w:p>
        <w:p w14:paraId="53D1DA13">
          <w:pPr>
            <w:pStyle w:val="12"/>
            <w:tabs>
              <w:tab w:val="right" w:leader="dot" w:pos="8306"/>
            </w:tabs>
            <w:ind w:left="480"/>
            <w:rPr>
              <w:sz w:val="28"/>
              <w:szCs w:val="28"/>
            </w:rPr>
          </w:pPr>
          <w:r>
            <w:fldChar w:fldCharType="begin"/>
          </w:r>
          <w:r>
            <w:instrText xml:space="preserve"> HYPERLINK \l "_Toc5733" </w:instrText>
          </w:r>
          <w:r>
            <w:fldChar w:fldCharType="separate"/>
          </w:r>
          <w:r>
            <w:rPr>
              <w:rFonts w:eastAsia="仿宋_GB2312"/>
              <w:bCs/>
              <w:kern w:val="2"/>
              <w:sz w:val="28"/>
              <w:szCs w:val="32"/>
            </w:rPr>
            <w:t>1.3 自然资源条件与开发利用现状</w:t>
          </w:r>
          <w:r>
            <w:rPr>
              <w:sz w:val="28"/>
              <w:szCs w:val="28"/>
            </w:rPr>
            <w:tab/>
          </w:r>
          <w:r>
            <w:rPr>
              <w:sz w:val="28"/>
              <w:szCs w:val="28"/>
            </w:rPr>
            <w:fldChar w:fldCharType="begin"/>
          </w:r>
          <w:r>
            <w:rPr>
              <w:sz w:val="28"/>
              <w:szCs w:val="28"/>
            </w:rPr>
            <w:instrText xml:space="preserve"> PAGEREF _Toc5733 \h </w:instrText>
          </w:r>
          <w:r>
            <w:rPr>
              <w:sz w:val="28"/>
              <w:szCs w:val="28"/>
            </w:rPr>
            <w:fldChar w:fldCharType="separate"/>
          </w:r>
          <w:r>
            <w:rPr>
              <w:sz w:val="28"/>
              <w:szCs w:val="28"/>
            </w:rPr>
            <w:t>5</w:t>
          </w:r>
          <w:r>
            <w:rPr>
              <w:sz w:val="28"/>
              <w:szCs w:val="28"/>
            </w:rPr>
            <w:fldChar w:fldCharType="end"/>
          </w:r>
          <w:r>
            <w:rPr>
              <w:sz w:val="28"/>
              <w:szCs w:val="28"/>
            </w:rPr>
            <w:fldChar w:fldCharType="end"/>
          </w:r>
        </w:p>
        <w:p w14:paraId="19D8D7A9">
          <w:pPr>
            <w:pStyle w:val="12"/>
            <w:tabs>
              <w:tab w:val="right" w:leader="dot" w:pos="8306"/>
            </w:tabs>
            <w:ind w:left="480"/>
            <w:rPr>
              <w:sz w:val="28"/>
              <w:szCs w:val="28"/>
            </w:rPr>
          </w:pPr>
          <w:r>
            <w:fldChar w:fldCharType="begin"/>
          </w:r>
          <w:r>
            <w:instrText xml:space="preserve"> HYPERLINK \l "_Toc27010" </w:instrText>
          </w:r>
          <w:r>
            <w:fldChar w:fldCharType="separate"/>
          </w:r>
          <w:r>
            <w:rPr>
              <w:rFonts w:eastAsia="仿宋_GB2312"/>
              <w:bCs/>
              <w:kern w:val="2"/>
              <w:sz w:val="28"/>
              <w:szCs w:val="32"/>
            </w:rPr>
            <w:t>1.4 生态环境质量现状</w:t>
          </w:r>
          <w:r>
            <w:rPr>
              <w:sz w:val="28"/>
              <w:szCs w:val="28"/>
            </w:rPr>
            <w:tab/>
          </w:r>
          <w:r>
            <w:rPr>
              <w:sz w:val="28"/>
              <w:szCs w:val="28"/>
            </w:rPr>
            <w:fldChar w:fldCharType="begin"/>
          </w:r>
          <w:r>
            <w:rPr>
              <w:sz w:val="28"/>
              <w:szCs w:val="28"/>
            </w:rPr>
            <w:instrText xml:space="preserve"> PAGEREF _Toc27010 \h </w:instrText>
          </w:r>
          <w:r>
            <w:rPr>
              <w:sz w:val="28"/>
              <w:szCs w:val="28"/>
            </w:rPr>
            <w:fldChar w:fldCharType="separate"/>
          </w:r>
          <w:r>
            <w:rPr>
              <w:sz w:val="28"/>
              <w:szCs w:val="28"/>
            </w:rPr>
            <w:t>6</w:t>
          </w:r>
          <w:r>
            <w:rPr>
              <w:sz w:val="28"/>
              <w:szCs w:val="28"/>
            </w:rPr>
            <w:fldChar w:fldCharType="end"/>
          </w:r>
          <w:r>
            <w:rPr>
              <w:sz w:val="28"/>
              <w:szCs w:val="28"/>
            </w:rPr>
            <w:fldChar w:fldCharType="end"/>
          </w:r>
        </w:p>
        <w:p w14:paraId="605A949B">
          <w:pPr>
            <w:pStyle w:val="9"/>
            <w:tabs>
              <w:tab w:val="right" w:leader="dot" w:pos="8306"/>
            </w:tabs>
            <w:rPr>
              <w:sz w:val="28"/>
              <w:szCs w:val="28"/>
            </w:rPr>
          </w:pPr>
          <w:r>
            <w:fldChar w:fldCharType="begin"/>
          </w:r>
          <w:r>
            <w:instrText xml:space="preserve"> HYPERLINK \l "_Toc20549" </w:instrText>
          </w:r>
          <w:r>
            <w:fldChar w:fldCharType="separate"/>
          </w:r>
          <w:r>
            <w:rPr>
              <w:rFonts w:eastAsia="仿宋_GB2312"/>
              <w:bCs/>
              <w:kern w:val="44"/>
              <w:sz w:val="28"/>
              <w:szCs w:val="48"/>
            </w:rPr>
            <w:t>第二章 生物多样性基本情况</w:t>
          </w:r>
          <w:r>
            <w:rPr>
              <w:sz w:val="28"/>
              <w:szCs w:val="28"/>
            </w:rPr>
            <w:tab/>
          </w:r>
          <w:r>
            <w:rPr>
              <w:sz w:val="28"/>
              <w:szCs w:val="28"/>
            </w:rPr>
            <w:fldChar w:fldCharType="begin"/>
          </w:r>
          <w:r>
            <w:rPr>
              <w:sz w:val="28"/>
              <w:szCs w:val="28"/>
            </w:rPr>
            <w:instrText xml:space="preserve"> PAGEREF _Toc20549 \h </w:instrText>
          </w:r>
          <w:r>
            <w:rPr>
              <w:sz w:val="28"/>
              <w:szCs w:val="28"/>
            </w:rPr>
            <w:fldChar w:fldCharType="separate"/>
          </w:r>
          <w:r>
            <w:rPr>
              <w:sz w:val="28"/>
              <w:szCs w:val="28"/>
            </w:rPr>
            <w:t>8</w:t>
          </w:r>
          <w:r>
            <w:rPr>
              <w:sz w:val="28"/>
              <w:szCs w:val="28"/>
            </w:rPr>
            <w:fldChar w:fldCharType="end"/>
          </w:r>
          <w:r>
            <w:rPr>
              <w:sz w:val="28"/>
              <w:szCs w:val="28"/>
            </w:rPr>
            <w:fldChar w:fldCharType="end"/>
          </w:r>
        </w:p>
        <w:p w14:paraId="795820CA">
          <w:pPr>
            <w:pStyle w:val="12"/>
            <w:tabs>
              <w:tab w:val="right" w:leader="dot" w:pos="8306"/>
            </w:tabs>
            <w:ind w:left="480"/>
            <w:rPr>
              <w:sz w:val="28"/>
              <w:szCs w:val="28"/>
            </w:rPr>
          </w:pPr>
          <w:r>
            <w:fldChar w:fldCharType="begin"/>
          </w:r>
          <w:r>
            <w:instrText xml:space="preserve"> HYPERLINK \l "_Toc22173" </w:instrText>
          </w:r>
          <w:r>
            <w:fldChar w:fldCharType="separate"/>
          </w:r>
          <w:r>
            <w:rPr>
              <w:rFonts w:eastAsia="仿宋_GB2312"/>
              <w:bCs/>
              <w:kern w:val="2"/>
              <w:sz w:val="28"/>
              <w:szCs w:val="32"/>
            </w:rPr>
            <w:t>4.1 生物多样性状况</w:t>
          </w:r>
          <w:r>
            <w:rPr>
              <w:sz w:val="28"/>
              <w:szCs w:val="28"/>
            </w:rPr>
            <w:tab/>
          </w:r>
          <w:r>
            <w:rPr>
              <w:sz w:val="28"/>
              <w:szCs w:val="28"/>
            </w:rPr>
            <w:fldChar w:fldCharType="begin"/>
          </w:r>
          <w:r>
            <w:rPr>
              <w:sz w:val="28"/>
              <w:szCs w:val="28"/>
            </w:rPr>
            <w:instrText xml:space="preserve"> PAGEREF _Toc22173 \h </w:instrText>
          </w:r>
          <w:r>
            <w:rPr>
              <w:sz w:val="28"/>
              <w:szCs w:val="28"/>
            </w:rPr>
            <w:fldChar w:fldCharType="separate"/>
          </w:r>
          <w:r>
            <w:rPr>
              <w:sz w:val="28"/>
              <w:szCs w:val="28"/>
            </w:rPr>
            <w:t>8</w:t>
          </w:r>
          <w:r>
            <w:rPr>
              <w:sz w:val="28"/>
              <w:szCs w:val="28"/>
            </w:rPr>
            <w:fldChar w:fldCharType="end"/>
          </w:r>
          <w:r>
            <w:rPr>
              <w:sz w:val="28"/>
              <w:szCs w:val="28"/>
            </w:rPr>
            <w:fldChar w:fldCharType="end"/>
          </w:r>
        </w:p>
        <w:p w14:paraId="1DB18319">
          <w:pPr>
            <w:pStyle w:val="12"/>
            <w:tabs>
              <w:tab w:val="right" w:leader="dot" w:pos="8306"/>
            </w:tabs>
            <w:ind w:left="480"/>
            <w:rPr>
              <w:sz w:val="28"/>
              <w:szCs w:val="28"/>
            </w:rPr>
          </w:pPr>
          <w:r>
            <w:fldChar w:fldCharType="begin"/>
          </w:r>
          <w:r>
            <w:instrText xml:space="preserve"> HYPERLINK \l "_Toc17118" </w:instrText>
          </w:r>
          <w:r>
            <w:fldChar w:fldCharType="separate"/>
          </w:r>
          <w:r>
            <w:rPr>
              <w:rFonts w:eastAsia="仿宋_GB2312"/>
              <w:bCs/>
              <w:kern w:val="2"/>
              <w:sz w:val="28"/>
              <w:szCs w:val="32"/>
            </w:rPr>
            <w:t>4.2 生物多样性保护管理状况</w:t>
          </w:r>
          <w:r>
            <w:rPr>
              <w:sz w:val="28"/>
              <w:szCs w:val="28"/>
            </w:rPr>
            <w:tab/>
          </w:r>
          <w:r>
            <w:rPr>
              <w:sz w:val="28"/>
              <w:szCs w:val="28"/>
            </w:rPr>
            <w:fldChar w:fldCharType="begin"/>
          </w:r>
          <w:r>
            <w:rPr>
              <w:sz w:val="28"/>
              <w:szCs w:val="28"/>
            </w:rPr>
            <w:instrText xml:space="preserve"> PAGEREF _Toc17118 \h </w:instrText>
          </w:r>
          <w:r>
            <w:rPr>
              <w:sz w:val="28"/>
              <w:szCs w:val="28"/>
            </w:rPr>
            <w:fldChar w:fldCharType="separate"/>
          </w:r>
          <w:r>
            <w:rPr>
              <w:sz w:val="28"/>
              <w:szCs w:val="28"/>
            </w:rPr>
            <w:t>11</w:t>
          </w:r>
          <w:r>
            <w:rPr>
              <w:sz w:val="28"/>
              <w:szCs w:val="28"/>
            </w:rPr>
            <w:fldChar w:fldCharType="end"/>
          </w:r>
          <w:r>
            <w:rPr>
              <w:sz w:val="28"/>
              <w:szCs w:val="28"/>
            </w:rPr>
            <w:fldChar w:fldCharType="end"/>
          </w:r>
        </w:p>
        <w:p w14:paraId="55F87AE2">
          <w:pPr>
            <w:pStyle w:val="12"/>
            <w:tabs>
              <w:tab w:val="right" w:leader="dot" w:pos="8306"/>
            </w:tabs>
            <w:ind w:left="480"/>
            <w:rPr>
              <w:sz w:val="28"/>
              <w:szCs w:val="28"/>
            </w:rPr>
          </w:pPr>
          <w:r>
            <w:fldChar w:fldCharType="begin"/>
          </w:r>
          <w:r>
            <w:instrText xml:space="preserve"> HYPERLINK \l "_Toc12973" </w:instrText>
          </w:r>
          <w:r>
            <w:fldChar w:fldCharType="separate"/>
          </w:r>
          <w:r>
            <w:rPr>
              <w:rFonts w:eastAsia="仿宋_GB2312"/>
              <w:bCs/>
              <w:kern w:val="2"/>
              <w:sz w:val="28"/>
              <w:szCs w:val="32"/>
            </w:rPr>
            <w:t>4.3 面临的问题及挑战</w:t>
          </w:r>
          <w:r>
            <w:rPr>
              <w:sz w:val="28"/>
              <w:szCs w:val="28"/>
            </w:rPr>
            <w:tab/>
          </w:r>
          <w:r>
            <w:rPr>
              <w:sz w:val="28"/>
              <w:szCs w:val="28"/>
            </w:rPr>
            <w:fldChar w:fldCharType="begin"/>
          </w:r>
          <w:r>
            <w:rPr>
              <w:sz w:val="28"/>
              <w:szCs w:val="28"/>
            </w:rPr>
            <w:instrText xml:space="preserve"> PAGEREF _Toc12973 \h </w:instrText>
          </w:r>
          <w:r>
            <w:rPr>
              <w:sz w:val="28"/>
              <w:szCs w:val="28"/>
            </w:rPr>
            <w:fldChar w:fldCharType="separate"/>
          </w:r>
          <w:r>
            <w:rPr>
              <w:sz w:val="28"/>
              <w:szCs w:val="28"/>
            </w:rPr>
            <w:t>12</w:t>
          </w:r>
          <w:r>
            <w:rPr>
              <w:sz w:val="28"/>
              <w:szCs w:val="28"/>
            </w:rPr>
            <w:fldChar w:fldCharType="end"/>
          </w:r>
          <w:r>
            <w:rPr>
              <w:sz w:val="28"/>
              <w:szCs w:val="28"/>
            </w:rPr>
            <w:fldChar w:fldCharType="end"/>
          </w:r>
        </w:p>
        <w:p w14:paraId="7F253F52">
          <w:pPr>
            <w:pStyle w:val="9"/>
            <w:tabs>
              <w:tab w:val="right" w:leader="dot" w:pos="8306"/>
            </w:tabs>
            <w:rPr>
              <w:sz w:val="28"/>
              <w:szCs w:val="28"/>
            </w:rPr>
          </w:pPr>
          <w:r>
            <w:fldChar w:fldCharType="begin"/>
          </w:r>
          <w:r>
            <w:instrText xml:space="preserve"> HYPERLINK \l "_Toc28218" </w:instrText>
          </w:r>
          <w:r>
            <w:fldChar w:fldCharType="separate"/>
          </w:r>
          <w:r>
            <w:rPr>
              <w:rFonts w:eastAsia="仿宋_GB2312"/>
              <w:bCs/>
              <w:kern w:val="44"/>
              <w:sz w:val="28"/>
              <w:szCs w:val="48"/>
            </w:rPr>
            <w:t>第三章 总体要求</w:t>
          </w:r>
          <w:r>
            <w:rPr>
              <w:sz w:val="28"/>
              <w:szCs w:val="28"/>
            </w:rPr>
            <w:tab/>
          </w:r>
          <w:r>
            <w:rPr>
              <w:sz w:val="28"/>
              <w:szCs w:val="28"/>
            </w:rPr>
            <w:fldChar w:fldCharType="begin"/>
          </w:r>
          <w:r>
            <w:rPr>
              <w:sz w:val="28"/>
              <w:szCs w:val="28"/>
            </w:rPr>
            <w:instrText xml:space="preserve"> PAGEREF _Toc28218 \h </w:instrText>
          </w:r>
          <w:r>
            <w:rPr>
              <w:sz w:val="28"/>
              <w:szCs w:val="28"/>
            </w:rPr>
            <w:fldChar w:fldCharType="separate"/>
          </w:r>
          <w:r>
            <w:rPr>
              <w:sz w:val="28"/>
              <w:szCs w:val="28"/>
            </w:rPr>
            <w:t>13</w:t>
          </w:r>
          <w:r>
            <w:rPr>
              <w:sz w:val="28"/>
              <w:szCs w:val="28"/>
            </w:rPr>
            <w:fldChar w:fldCharType="end"/>
          </w:r>
          <w:r>
            <w:rPr>
              <w:sz w:val="28"/>
              <w:szCs w:val="28"/>
            </w:rPr>
            <w:fldChar w:fldCharType="end"/>
          </w:r>
        </w:p>
        <w:p w14:paraId="6040033A">
          <w:pPr>
            <w:pStyle w:val="12"/>
            <w:tabs>
              <w:tab w:val="right" w:leader="dot" w:pos="8306"/>
            </w:tabs>
            <w:ind w:left="480"/>
            <w:rPr>
              <w:sz w:val="28"/>
              <w:szCs w:val="28"/>
            </w:rPr>
          </w:pPr>
          <w:r>
            <w:fldChar w:fldCharType="begin"/>
          </w:r>
          <w:r>
            <w:instrText xml:space="preserve"> HYPERLINK \l "_Toc24729" </w:instrText>
          </w:r>
          <w:r>
            <w:fldChar w:fldCharType="separate"/>
          </w:r>
          <w:r>
            <w:rPr>
              <w:rFonts w:eastAsia="仿宋_GB2312"/>
              <w:bCs/>
              <w:kern w:val="2"/>
              <w:sz w:val="28"/>
              <w:szCs w:val="32"/>
            </w:rPr>
            <w:t>3.1 指导思想</w:t>
          </w:r>
          <w:r>
            <w:rPr>
              <w:sz w:val="28"/>
              <w:szCs w:val="28"/>
            </w:rPr>
            <w:tab/>
          </w:r>
          <w:r>
            <w:rPr>
              <w:sz w:val="28"/>
              <w:szCs w:val="28"/>
            </w:rPr>
            <w:fldChar w:fldCharType="begin"/>
          </w:r>
          <w:r>
            <w:rPr>
              <w:sz w:val="28"/>
              <w:szCs w:val="28"/>
            </w:rPr>
            <w:instrText xml:space="preserve"> PAGEREF _Toc24729 \h </w:instrText>
          </w:r>
          <w:r>
            <w:rPr>
              <w:sz w:val="28"/>
              <w:szCs w:val="28"/>
            </w:rPr>
            <w:fldChar w:fldCharType="separate"/>
          </w:r>
          <w:r>
            <w:rPr>
              <w:sz w:val="28"/>
              <w:szCs w:val="28"/>
            </w:rPr>
            <w:t>13</w:t>
          </w:r>
          <w:r>
            <w:rPr>
              <w:sz w:val="28"/>
              <w:szCs w:val="28"/>
            </w:rPr>
            <w:fldChar w:fldCharType="end"/>
          </w:r>
          <w:r>
            <w:rPr>
              <w:sz w:val="28"/>
              <w:szCs w:val="28"/>
            </w:rPr>
            <w:fldChar w:fldCharType="end"/>
          </w:r>
        </w:p>
        <w:p w14:paraId="46633FB4">
          <w:pPr>
            <w:pStyle w:val="12"/>
            <w:tabs>
              <w:tab w:val="right" w:leader="dot" w:pos="8306"/>
            </w:tabs>
            <w:ind w:left="480"/>
            <w:rPr>
              <w:sz w:val="28"/>
              <w:szCs w:val="28"/>
            </w:rPr>
          </w:pPr>
          <w:r>
            <w:fldChar w:fldCharType="begin"/>
          </w:r>
          <w:r>
            <w:instrText xml:space="preserve"> HYPERLINK \l "_Toc2203" </w:instrText>
          </w:r>
          <w:r>
            <w:fldChar w:fldCharType="separate"/>
          </w:r>
          <w:r>
            <w:rPr>
              <w:rFonts w:eastAsia="仿宋_GB2312"/>
              <w:bCs/>
              <w:kern w:val="2"/>
              <w:sz w:val="28"/>
              <w:szCs w:val="32"/>
            </w:rPr>
            <w:t>3.2 基本原则</w:t>
          </w:r>
          <w:r>
            <w:rPr>
              <w:sz w:val="28"/>
              <w:szCs w:val="28"/>
            </w:rPr>
            <w:tab/>
          </w:r>
          <w:r>
            <w:rPr>
              <w:sz w:val="28"/>
              <w:szCs w:val="28"/>
            </w:rPr>
            <w:fldChar w:fldCharType="begin"/>
          </w:r>
          <w:r>
            <w:rPr>
              <w:sz w:val="28"/>
              <w:szCs w:val="28"/>
            </w:rPr>
            <w:instrText xml:space="preserve"> PAGEREF _Toc2203 \h </w:instrText>
          </w:r>
          <w:r>
            <w:rPr>
              <w:sz w:val="28"/>
              <w:szCs w:val="28"/>
            </w:rPr>
            <w:fldChar w:fldCharType="separate"/>
          </w:r>
          <w:r>
            <w:rPr>
              <w:sz w:val="28"/>
              <w:szCs w:val="28"/>
            </w:rPr>
            <w:t>13</w:t>
          </w:r>
          <w:r>
            <w:rPr>
              <w:sz w:val="28"/>
              <w:szCs w:val="28"/>
            </w:rPr>
            <w:fldChar w:fldCharType="end"/>
          </w:r>
          <w:r>
            <w:rPr>
              <w:sz w:val="28"/>
              <w:szCs w:val="28"/>
            </w:rPr>
            <w:fldChar w:fldCharType="end"/>
          </w:r>
        </w:p>
        <w:p w14:paraId="275831A7">
          <w:pPr>
            <w:pStyle w:val="12"/>
            <w:tabs>
              <w:tab w:val="right" w:leader="dot" w:pos="8306"/>
            </w:tabs>
            <w:ind w:left="480"/>
            <w:rPr>
              <w:sz w:val="28"/>
              <w:szCs w:val="28"/>
            </w:rPr>
          </w:pPr>
          <w:r>
            <w:fldChar w:fldCharType="begin"/>
          </w:r>
          <w:r>
            <w:instrText xml:space="preserve"> HYPERLINK \l "_Toc2215" </w:instrText>
          </w:r>
          <w:r>
            <w:fldChar w:fldCharType="separate"/>
          </w:r>
          <w:r>
            <w:rPr>
              <w:rFonts w:eastAsia="仿宋_GB2312"/>
              <w:bCs/>
              <w:kern w:val="2"/>
              <w:sz w:val="28"/>
              <w:szCs w:val="32"/>
            </w:rPr>
            <w:t>3.3 规划依据</w:t>
          </w:r>
          <w:r>
            <w:rPr>
              <w:sz w:val="28"/>
              <w:szCs w:val="28"/>
            </w:rPr>
            <w:tab/>
          </w:r>
          <w:r>
            <w:rPr>
              <w:sz w:val="28"/>
              <w:szCs w:val="28"/>
            </w:rPr>
            <w:fldChar w:fldCharType="begin"/>
          </w:r>
          <w:r>
            <w:rPr>
              <w:sz w:val="28"/>
              <w:szCs w:val="28"/>
            </w:rPr>
            <w:instrText xml:space="preserve"> PAGEREF _Toc2215 \h </w:instrText>
          </w:r>
          <w:r>
            <w:rPr>
              <w:sz w:val="28"/>
              <w:szCs w:val="28"/>
            </w:rPr>
            <w:fldChar w:fldCharType="separate"/>
          </w:r>
          <w:r>
            <w:rPr>
              <w:sz w:val="28"/>
              <w:szCs w:val="28"/>
            </w:rPr>
            <w:t>14</w:t>
          </w:r>
          <w:r>
            <w:rPr>
              <w:sz w:val="28"/>
              <w:szCs w:val="28"/>
            </w:rPr>
            <w:fldChar w:fldCharType="end"/>
          </w:r>
          <w:r>
            <w:rPr>
              <w:sz w:val="28"/>
              <w:szCs w:val="28"/>
            </w:rPr>
            <w:fldChar w:fldCharType="end"/>
          </w:r>
        </w:p>
        <w:p w14:paraId="7B0EFF22">
          <w:pPr>
            <w:pStyle w:val="12"/>
            <w:tabs>
              <w:tab w:val="right" w:leader="dot" w:pos="8306"/>
            </w:tabs>
            <w:ind w:left="480"/>
            <w:rPr>
              <w:sz w:val="28"/>
              <w:szCs w:val="28"/>
            </w:rPr>
          </w:pPr>
          <w:r>
            <w:fldChar w:fldCharType="begin"/>
          </w:r>
          <w:r>
            <w:instrText xml:space="preserve"> HYPERLINK \l "_Toc32759" </w:instrText>
          </w:r>
          <w:r>
            <w:fldChar w:fldCharType="separate"/>
          </w:r>
          <w:r>
            <w:rPr>
              <w:rFonts w:eastAsia="仿宋_GB2312"/>
              <w:bCs/>
              <w:kern w:val="2"/>
              <w:sz w:val="28"/>
              <w:szCs w:val="32"/>
            </w:rPr>
            <w:t>3.4 规划范围及期限</w:t>
          </w:r>
          <w:r>
            <w:rPr>
              <w:sz w:val="28"/>
              <w:szCs w:val="28"/>
            </w:rPr>
            <w:tab/>
          </w:r>
          <w:r>
            <w:rPr>
              <w:sz w:val="28"/>
              <w:szCs w:val="28"/>
            </w:rPr>
            <w:fldChar w:fldCharType="begin"/>
          </w:r>
          <w:r>
            <w:rPr>
              <w:sz w:val="28"/>
              <w:szCs w:val="28"/>
            </w:rPr>
            <w:instrText xml:space="preserve"> PAGEREF _Toc32759 \h </w:instrText>
          </w:r>
          <w:r>
            <w:rPr>
              <w:sz w:val="28"/>
              <w:szCs w:val="28"/>
            </w:rPr>
            <w:fldChar w:fldCharType="separate"/>
          </w:r>
          <w:r>
            <w:rPr>
              <w:sz w:val="28"/>
              <w:szCs w:val="28"/>
            </w:rPr>
            <w:t>17</w:t>
          </w:r>
          <w:r>
            <w:rPr>
              <w:sz w:val="28"/>
              <w:szCs w:val="28"/>
            </w:rPr>
            <w:fldChar w:fldCharType="end"/>
          </w:r>
          <w:r>
            <w:rPr>
              <w:sz w:val="28"/>
              <w:szCs w:val="28"/>
            </w:rPr>
            <w:fldChar w:fldCharType="end"/>
          </w:r>
        </w:p>
        <w:p w14:paraId="26B3CF66">
          <w:pPr>
            <w:pStyle w:val="12"/>
            <w:tabs>
              <w:tab w:val="right" w:leader="dot" w:pos="8306"/>
            </w:tabs>
            <w:ind w:left="480"/>
            <w:rPr>
              <w:sz w:val="28"/>
              <w:szCs w:val="28"/>
            </w:rPr>
          </w:pPr>
          <w:r>
            <w:fldChar w:fldCharType="begin"/>
          </w:r>
          <w:r>
            <w:instrText xml:space="preserve"> HYPERLINK \l "_Toc21661" </w:instrText>
          </w:r>
          <w:r>
            <w:fldChar w:fldCharType="separate"/>
          </w:r>
          <w:r>
            <w:rPr>
              <w:rFonts w:eastAsia="仿宋_GB2312"/>
              <w:bCs/>
              <w:kern w:val="2"/>
              <w:sz w:val="28"/>
              <w:szCs w:val="32"/>
            </w:rPr>
            <w:t>3.5 规划目标</w:t>
          </w:r>
          <w:r>
            <w:rPr>
              <w:sz w:val="28"/>
              <w:szCs w:val="28"/>
            </w:rPr>
            <w:tab/>
          </w:r>
          <w:r>
            <w:rPr>
              <w:sz w:val="28"/>
              <w:szCs w:val="28"/>
            </w:rPr>
            <w:fldChar w:fldCharType="begin"/>
          </w:r>
          <w:r>
            <w:rPr>
              <w:sz w:val="28"/>
              <w:szCs w:val="28"/>
            </w:rPr>
            <w:instrText xml:space="preserve"> PAGEREF _Toc21661 \h </w:instrText>
          </w:r>
          <w:r>
            <w:rPr>
              <w:sz w:val="28"/>
              <w:szCs w:val="28"/>
            </w:rPr>
            <w:fldChar w:fldCharType="separate"/>
          </w:r>
          <w:r>
            <w:rPr>
              <w:sz w:val="28"/>
              <w:szCs w:val="28"/>
            </w:rPr>
            <w:t>17</w:t>
          </w:r>
          <w:r>
            <w:rPr>
              <w:sz w:val="28"/>
              <w:szCs w:val="28"/>
            </w:rPr>
            <w:fldChar w:fldCharType="end"/>
          </w:r>
          <w:r>
            <w:rPr>
              <w:sz w:val="28"/>
              <w:szCs w:val="28"/>
            </w:rPr>
            <w:fldChar w:fldCharType="end"/>
          </w:r>
        </w:p>
        <w:p w14:paraId="270D100E">
          <w:pPr>
            <w:pStyle w:val="12"/>
            <w:tabs>
              <w:tab w:val="right" w:leader="dot" w:pos="8306"/>
            </w:tabs>
            <w:ind w:left="480"/>
            <w:rPr>
              <w:sz w:val="28"/>
              <w:szCs w:val="28"/>
            </w:rPr>
          </w:pPr>
          <w:r>
            <w:fldChar w:fldCharType="begin"/>
          </w:r>
          <w:r>
            <w:instrText xml:space="preserve"> HYPERLINK \l "_Toc1049" </w:instrText>
          </w:r>
          <w:r>
            <w:fldChar w:fldCharType="separate"/>
          </w:r>
          <w:r>
            <w:rPr>
              <w:rFonts w:eastAsia="仿宋_GB2312"/>
              <w:bCs/>
              <w:kern w:val="2"/>
              <w:sz w:val="28"/>
              <w:szCs w:val="32"/>
            </w:rPr>
            <w:t>3.6 指标体系</w:t>
          </w:r>
          <w:r>
            <w:rPr>
              <w:sz w:val="28"/>
              <w:szCs w:val="28"/>
            </w:rPr>
            <w:tab/>
          </w:r>
          <w:r>
            <w:rPr>
              <w:sz w:val="28"/>
              <w:szCs w:val="28"/>
            </w:rPr>
            <w:fldChar w:fldCharType="begin"/>
          </w:r>
          <w:r>
            <w:rPr>
              <w:sz w:val="28"/>
              <w:szCs w:val="28"/>
            </w:rPr>
            <w:instrText xml:space="preserve"> PAGEREF _Toc1049 \h </w:instrText>
          </w:r>
          <w:r>
            <w:rPr>
              <w:sz w:val="28"/>
              <w:szCs w:val="28"/>
            </w:rPr>
            <w:fldChar w:fldCharType="separate"/>
          </w:r>
          <w:r>
            <w:rPr>
              <w:sz w:val="28"/>
              <w:szCs w:val="28"/>
            </w:rPr>
            <w:t>19</w:t>
          </w:r>
          <w:r>
            <w:rPr>
              <w:sz w:val="28"/>
              <w:szCs w:val="28"/>
            </w:rPr>
            <w:fldChar w:fldCharType="end"/>
          </w:r>
          <w:r>
            <w:rPr>
              <w:sz w:val="28"/>
              <w:szCs w:val="28"/>
            </w:rPr>
            <w:fldChar w:fldCharType="end"/>
          </w:r>
        </w:p>
        <w:p w14:paraId="085EAEB7">
          <w:pPr>
            <w:pStyle w:val="9"/>
            <w:tabs>
              <w:tab w:val="right" w:leader="dot" w:pos="8306"/>
            </w:tabs>
            <w:rPr>
              <w:sz w:val="28"/>
              <w:szCs w:val="28"/>
            </w:rPr>
          </w:pPr>
          <w:r>
            <w:fldChar w:fldCharType="begin"/>
          </w:r>
          <w:r>
            <w:instrText xml:space="preserve"> HYPERLINK \l "_Toc5575" </w:instrText>
          </w:r>
          <w:r>
            <w:fldChar w:fldCharType="separate"/>
          </w:r>
          <w:r>
            <w:rPr>
              <w:rFonts w:eastAsia="仿宋_GB2312"/>
              <w:bCs/>
              <w:kern w:val="44"/>
              <w:sz w:val="28"/>
              <w:szCs w:val="48"/>
            </w:rPr>
            <w:t>第四章 生物多样性保护空间总体布局</w:t>
          </w:r>
          <w:r>
            <w:rPr>
              <w:sz w:val="28"/>
              <w:szCs w:val="28"/>
            </w:rPr>
            <w:tab/>
          </w:r>
          <w:r>
            <w:rPr>
              <w:sz w:val="28"/>
              <w:szCs w:val="28"/>
            </w:rPr>
            <w:fldChar w:fldCharType="begin"/>
          </w:r>
          <w:r>
            <w:rPr>
              <w:sz w:val="28"/>
              <w:szCs w:val="28"/>
            </w:rPr>
            <w:instrText xml:space="preserve"> PAGEREF _Toc5575 \h </w:instrText>
          </w:r>
          <w:r>
            <w:rPr>
              <w:sz w:val="28"/>
              <w:szCs w:val="28"/>
            </w:rPr>
            <w:fldChar w:fldCharType="separate"/>
          </w:r>
          <w:r>
            <w:rPr>
              <w:sz w:val="28"/>
              <w:szCs w:val="28"/>
            </w:rPr>
            <w:t>23</w:t>
          </w:r>
          <w:r>
            <w:rPr>
              <w:sz w:val="28"/>
              <w:szCs w:val="28"/>
            </w:rPr>
            <w:fldChar w:fldCharType="end"/>
          </w:r>
          <w:r>
            <w:rPr>
              <w:sz w:val="28"/>
              <w:szCs w:val="28"/>
            </w:rPr>
            <w:fldChar w:fldCharType="end"/>
          </w:r>
        </w:p>
        <w:p w14:paraId="75602B81">
          <w:pPr>
            <w:pStyle w:val="12"/>
            <w:tabs>
              <w:tab w:val="right" w:leader="dot" w:pos="8306"/>
            </w:tabs>
            <w:ind w:left="480"/>
            <w:rPr>
              <w:sz w:val="28"/>
              <w:szCs w:val="28"/>
            </w:rPr>
          </w:pPr>
          <w:r>
            <w:fldChar w:fldCharType="begin"/>
          </w:r>
          <w:r>
            <w:instrText xml:space="preserve"> HYPERLINK \l "_Toc18183" </w:instrText>
          </w:r>
          <w:r>
            <w:fldChar w:fldCharType="separate"/>
          </w:r>
          <w:r>
            <w:rPr>
              <w:rFonts w:eastAsia="仿宋_GB2312"/>
              <w:bCs/>
              <w:kern w:val="2"/>
              <w:sz w:val="28"/>
              <w:szCs w:val="32"/>
            </w:rPr>
            <w:t>4.1 一带</w:t>
          </w:r>
          <w:r>
            <w:rPr>
              <w:sz w:val="28"/>
              <w:szCs w:val="28"/>
            </w:rPr>
            <w:tab/>
          </w:r>
          <w:r>
            <w:rPr>
              <w:sz w:val="28"/>
              <w:szCs w:val="28"/>
            </w:rPr>
            <w:fldChar w:fldCharType="begin"/>
          </w:r>
          <w:r>
            <w:rPr>
              <w:sz w:val="28"/>
              <w:szCs w:val="28"/>
            </w:rPr>
            <w:instrText xml:space="preserve"> PAGEREF _Toc18183 \h </w:instrText>
          </w:r>
          <w:r>
            <w:rPr>
              <w:sz w:val="28"/>
              <w:szCs w:val="28"/>
            </w:rPr>
            <w:fldChar w:fldCharType="separate"/>
          </w:r>
          <w:r>
            <w:rPr>
              <w:sz w:val="28"/>
              <w:szCs w:val="28"/>
            </w:rPr>
            <w:t>23</w:t>
          </w:r>
          <w:r>
            <w:rPr>
              <w:sz w:val="28"/>
              <w:szCs w:val="28"/>
            </w:rPr>
            <w:fldChar w:fldCharType="end"/>
          </w:r>
          <w:r>
            <w:rPr>
              <w:sz w:val="28"/>
              <w:szCs w:val="28"/>
            </w:rPr>
            <w:fldChar w:fldCharType="end"/>
          </w:r>
        </w:p>
        <w:p w14:paraId="62137A00">
          <w:pPr>
            <w:pStyle w:val="12"/>
            <w:tabs>
              <w:tab w:val="right" w:leader="dot" w:pos="8306"/>
            </w:tabs>
            <w:ind w:left="480"/>
            <w:rPr>
              <w:sz w:val="28"/>
              <w:szCs w:val="28"/>
            </w:rPr>
          </w:pPr>
          <w:r>
            <w:fldChar w:fldCharType="begin"/>
          </w:r>
          <w:r>
            <w:instrText xml:space="preserve"> HYPERLINK \l "_Toc27738" </w:instrText>
          </w:r>
          <w:r>
            <w:fldChar w:fldCharType="separate"/>
          </w:r>
          <w:r>
            <w:rPr>
              <w:rFonts w:eastAsia="仿宋_GB2312"/>
              <w:bCs/>
              <w:kern w:val="2"/>
              <w:sz w:val="28"/>
              <w:szCs w:val="32"/>
            </w:rPr>
            <w:t>4.2 一岛</w:t>
          </w:r>
          <w:r>
            <w:rPr>
              <w:sz w:val="28"/>
              <w:szCs w:val="28"/>
            </w:rPr>
            <w:tab/>
          </w:r>
          <w:r>
            <w:rPr>
              <w:sz w:val="28"/>
              <w:szCs w:val="28"/>
            </w:rPr>
            <w:fldChar w:fldCharType="begin"/>
          </w:r>
          <w:r>
            <w:rPr>
              <w:sz w:val="28"/>
              <w:szCs w:val="28"/>
            </w:rPr>
            <w:instrText xml:space="preserve"> PAGEREF _Toc27738 \h </w:instrText>
          </w:r>
          <w:r>
            <w:rPr>
              <w:sz w:val="28"/>
              <w:szCs w:val="28"/>
            </w:rPr>
            <w:fldChar w:fldCharType="separate"/>
          </w:r>
          <w:r>
            <w:rPr>
              <w:sz w:val="28"/>
              <w:szCs w:val="28"/>
            </w:rPr>
            <w:t>25</w:t>
          </w:r>
          <w:r>
            <w:rPr>
              <w:sz w:val="28"/>
              <w:szCs w:val="28"/>
            </w:rPr>
            <w:fldChar w:fldCharType="end"/>
          </w:r>
          <w:r>
            <w:rPr>
              <w:sz w:val="28"/>
              <w:szCs w:val="28"/>
            </w:rPr>
            <w:fldChar w:fldCharType="end"/>
          </w:r>
        </w:p>
        <w:p w14:paraId="4459FB2A">
          <w:pPr>
            <w:pStyle w:val="12"/>
            <w:tabs>
              <w:tab w:val="right" w:leader="dot" w:pos="8306"/>
            </w:tabs>
            <w:ind w:left="480"/>
            <w:rPr>
              <w:sz w:val="28"/>
              <w:szCs w:val="28"/>
            </w:rPr>
          </w:pPr>
          <w:r>
            <w:fldChar w:fldCharType="begin"/>
          </w:r>
          <w:r>
            <w:instrText xml:space="preserve"> HYPERLINK \l "_Toc19806" </w:instrText>
          </w:r>
          <w:r>
            <w:fldChar w:fldCharType="separate"/>
          </w:r>
          <w:r>
            <w:rPr>
              <w:rFonts w:eastAsia="仿宋_GB2312"/>
              <w:bCs/>
              <w:kern w:val="2"/>
              <w:sz w:val="28"/>
              <w:szCs w:val="32"/>
            </w:rPr>
            <w:t>4.3 两区</w:t>
          </w:r>
          <w:r>
            <w:rPr>
              <w:sz w:val="28"/>
              <w:szCs w:val="28"/>
            </w:rPr>
            <w:tab/>
          </w:r>
          <w:r>
            <w:rPr>
              <w:sz w:val="28"/>
              <w:szCs w:val="28"/>
            </w:rPr>
            <w:fldChar w:fldCharType="begin"/>
          </w:r>
          <w:r>
            <w:rPr>
              <w:sz w:val="28"/>
              <w:szCs w:val="28"/>
            </w:rPr>
            <w:instrText xml:space="preserve"> PAGEREF _Toc19806 \h </w:instrText>
          </w:r>
          <w:r>
            <w:rPr>
              <w:sz w:val="28"/>
              <w:szCs w:val="28"/>
            </w:rPr>
            <w:fldChar w:fldCharType="separate"/>
          </w:r>
          <w:r>
            <w:rPr>
              <w:sz w:val="28"/>
              <w:szCs w:val="28"/>
            </w:rPr>
            <w:t>27</w:t>
          </w:r>
          <w:r>
            <w:rPr>
              <w:sz w:val="28"/>
              <w:szCs w:val="28"/>
            </w:rPr>
            <w:fldChar w:fldCharType="end"/>
          </w:r>
          <w:r>
            <w:rPr>
              <w:sz w:val="28"/>
              <w:szCs w:val="28"/>
            </w:rPr>
            <w:fldChar w:fldCharType="end"/>
          </w:r>
        </w:p>
        <w:p w14:paraId="7FABEE59">
          <w:pPr>
            <w:pStyle w:val="12"/>
            <w:tabs>
              <w:tab w:val="right" w:leader="dot" w:pos="8306"/>
            </w:tabs>
            <w:ind w:left="480"/>
            <w:rPr>
              <w:sz w:val="28"/>
              <w:szCs w:val="28"/>
            </w:rPr>
          </w:pPr>
          <w:r>
            <w:fldChar w:fldCharType="begin"/>
          </w:r>
          <w:r>
            <w:instrText xml:space="preserve"> HYPERLINK \l "_Toc716" </w:instrText>
          </w:r>
          <w:r>
            <w:fldChar w:fldCharType="separate"/>
          </w:r>
          <w:r>
            <w:rPr>
              <w:rFonts w:eastAsia="仿宋_GB2312"/>
              <w:bCs/>
              <w:kern w:val="2"/>
              <w:sz w:val="28"/>
              <w:szCs w:val="32"/>
            </w:rPr>
            <w:t>4.4 多廊</w:t>
          </w:r>
          <w:r>
            <w:rPr>
              <w:sz w:val="28"/>
              <w:szCs w:val="28"/>
            </w:rPr>
            <w:tab/>
          </w:r>
          <w:r>
            <w:rPr>
              <w:sz w:val="28"/>
              <w:szCs w:val="28"/>
            </w:rPr>
            <w:fldChar w:fldCharType="begin"/>
          </w:r>
          <w:r>
            <w:rPr>
              <w:sz w:val="28"/>
              <w:szCs w:val="28"/>
            </w:rPr>
            <w:instrText xml:space="preserve"> PAGEREF _Toc716 \h </w:instrText>
          </w:r>
          <w:r>
            <w:rPr>
              <w:sz w:val="28"/>
              <w:szCs w:val="28"/>
            </w:rPr>
            <w:fldChar w:fldCharType="separate"/>
          </w:r>
          <w:r>
            <w:rPr>
              <w:sz w:val="28"/>
              <w:szCs w:val="28"/>
            </w:rPr>
            <w:t>28</w:t>
          </w:r>
          <w:r>
            <w:rPr>
              <w:sz w:val="28"/>
              <w:szCs w:val="28"/>
            </w:rPr>
            <w:fldChar w:fldCharType="end"/>
          </w:r>
          <w:r>
            <w:rPr>
              <w:sz w:val="28"/>
              <w:szCs w:val="28"/>
            </w:rPr>
            <w:fldChar w:fldCharType="end"/>
          </w:r>
        </w:p>
        <w:p w14:paraId="79ADDC29">
          <w:pPr>
            <w:pStyle w:val="12"/>
            <w:tabs>
              <w:tab w:val="right" w:leader="dot" w:pos="8306"/>
            </w:tabs>
            <w:ind w:left="480"/>
            <w:rPr>
              <w:sz w:val="28"/>
              <w:szCs w:val="28"/>
            </w:rPr>
          </w:pPr>
          <w:r>
            <w:fldChar w:fldCharType="begin"/>
          </w:r>
          <w:r>
            <w:instrText xml:space="preserve"> HYPERLINK \l "_Toc14016" </w:instrText>
          </w:r>
          <w:r>
            <w:fldChar w:fldCharType="separate"/>
          </w:r>
          <w:r>
            <w:rPr>
              <w:rFonts w:eastAsia="仿宋_GB2312"/>
              <w:bCs/>
              <w:kern w:val="2"/>
              <w:sz w:val="28"/>
              <w:szCs w:val="32"/>
            </w:rPr>
            <w:t>4.5 多节点</w:t>
          </w:r>
          <w:r>
            <w:rPr>
              <w:sz w:val="28"/>
              <w:szCs w:val="28"/>
            </w:rPr>
            <w:tab/>
          </w:r>
          <w:r>
            <w:rPr>
              <w:sz w:val="28"/>
              <w:szCs w:val="28"/>
            </w:rPr>
            <w:fldChar w:fldCharType="begin"/>
          </w:r>
          <w:r>
            <w:rPr>
              <w:sz w:val="28"/>
              <w:szCs w:val="28"/>
            </w:rPr>
            <w:instrText xml:space="preserve"> PAGEREF _Toc14016 \h </w:instrText>
          </w:r>
          <w:r>
            <w:rPr>
              <w:sz w:val="28"/>
              <w:szCs w:val="28"/>
            </w:rPr>
            <w:fldChar w:fldCharType="separate"/>
          </w:r>
          <w:r>
            <w:rPr>
              <w:sz w:val="28"/>
              <w:szCs w:val="28"/>
            </w:rPr>
            <w:t>30</w:t>
          </w:r>
          <w:r>
            <w:rPr>
              <w:sz w:val="28"/>
              <w:szCs w:val="28"/>
            </w:rPr>
            <w:fldChar w:fldCharType="end"/>
          </w:r>
          <w:r>
            <w:rPr>
              <w:sz w:val="28"/>
              <w:szCs w:val="28"/>
            </w:rPr>
            <w:fldChar w:fldCharType="end"/>
          </w:r>
        </w:p>
        <w:p w14:paraId="72D62C6B">
          <w:pPr>
            <w:pStyle w:val="9"/>
            <w:tabs>
              <w:tab w:val="right" w:leader="dot" w:pos="8306"/>
            </w:tabs>
            <w:rPr>
              <w:sz w:val="28"/>
              <w:szCs w:val="28"/>
            </w:rPr>
          </w:pPr>
          <w:r>
            <w:fldChar w:fldCharType="begin"/>
          </w:r>
          <w:r>
            <w:instrText xml:space="preserve"> HYPERLINK \l "_Toc17692" </w:instrText>
          </w:r>
          <w:r>
            <w:fldChar w:fldCharType="separate"/>
          </w:r>
          <w:r>
            <w:rPr>
              <w:rFonts w:eastAsia="仿宋_GB2312"/>
              <w:bCs/>
              <w:kern w:val="44"/>
              <w:sz w:val="28"/>
              <w:szCs w:val="48"/>
            </w:rPr>
            <w:t>第五章 主要任务</w:t>
          </w:r>
          <w:r>
            <w:rPr>
              <w:sz w:val="28"/>
              <w:szCs w:val="28"/>
            </w:rPr>
            <w:tab/>
          </w:r>
          <w:r>
            <w:rPr>
              <w:sz w:val="28"/>
              <w:szCs w:val="28"/>
            </w:rPr>
            <w:fldChar w:fldCharType="begin"/>
          </w:r>
          <w:r>
            <w:rPr>
              <w:sz w:val="28"/>
              <w:szCs w:val="28"/>
            </w:rPr>
            <w:instrText xml:space="preserve"> PAGEREF _Toc17692 \h </w:instrText>
          </w:r>
          <w:r>
            <w:rPr>
              <w:sz w:val="28"/>
              <w:szCs w:val="28"/>
            </w:rPr>
            <w:fldChar w:fldCharType="separate"/>
          </w:r>
          <w:r>
            <w:rPr>
              <w:sz w:val="28"/>
              <w:szCs w:val="28"/>
            </w:rPr>
            <w:t>32</w:t>
          </w:r>
          <w:r>
            <w:rPr>
              <w:sz w:val="28"/>
              <w:szCs w:val="28"/>
            </w:rPr>
            <w:fldChar w:fldCharType="end"/>
          </w:r>
          <w:r>
            <w:rPr>
              <w:sz w:val="28"/>
              <w:szCs w:val="28"/>
            </w:rPr>
            <w:fldChar w:fldCharType="end"/>
          </w:r>
        </w:p>
        <w:p w14:paraId="5105C7F3">
          <w:pPr>
            <w:pStyle w:val="12"/>
            <w:tabs>
              <w:tab w:val="right" w:leader="dot" w:pos="8306"/>
            </w:tabs>
            <w:ind w:left="480"/>
            <w:rPr>
              <w:sz w:val="28"/>
              <w:szCs w:val="28"/>
            </w:rPr>
          </w:pPr>
          <w:r>
            <w:fldChar w:fldCharType="begin"/>
          </w:r>
          <w:r>
            <w:instrText xml:space="preserve"> HYPERLINK \l "_Toc26252" </w:instrText>
          </w:r>
          <w:r>
            <w:fldChar w:fldCharType="separate"/>
          </w:r>
          <w:r>
            <w:rPr>
              <w:rFonts w:eastAsia="仿宋_GB2312"/>
              <w:bCs/>
              <w:kern w:val="2"/>
              <w:sz w:val="28"/>
              <w:szCs w:val="36"/>
            </w:rPr>
            <w:t>5.1 推动生物多样性主流化</w:t>
          </w:r>
          <w:r>
            <w:rPr>
              <w:sz w:val="28"/>
              <w:szCs w:val="28"/>
            </w:rPr>
            <w:tab/>
          </w:r>
          <w:r>
            <w:rPr>
              <w:sz w:val="28"/>
              <w:szCs w:val="28"/>
            </w:rPr>
            <w:fldChar w:fldCharType="begin"/>
          </w:r>
          <w:r>
            <w:rPr>
              <w:sz w:val="28"/>
              <w:szCs w:val="28"/>
            </w:rPr>
            <w:instrText xml:space="preserve"> PAGEREF _Toc26252 \h </w:instrText>
          </w:r>
          <w:r>
            <w:rPr>
              <w:sz w:val="28"/>
              <w:szCs w:val="28"/>
            </w:rPr>
            <w:fldChar w:fldCharType="separate"/>
          </w:r>
          <w:r>
            <w:rPr>
              <w:sz w:val="28"/>
              <w:szCs w:val="28"/>
            </w:rPr>
            <w:t>32</w:t>
          </w:r>
          <w:r>
            <w:rPr>
              <w:sz w:val="28"/>
              <w:szCs w:val="28"/>
            </w:rPr>
            <w:fldChar w:fldCharType="end"/>
          </w:r>
          <w:r>
            <w:rPr>
              <w:sz w:val="28"/>
              <w:szCs w:val="28"/>
            </w:rPr>
            <w:fldChar w:fldCharType="end"/>
          </w:r>
        </w:p>
        <w:p w14:paraId="369C8E97">
          <w:pPr>
            <w:pStyle w:val="12"/>
            <w:tabs>
              <w:tab w:val="right" w:leader="dot" w:pos="8306"/>
            </w:tabs>
            <w:ind w:left="480"/>
            <w:rPr>
              <w:sz w:val="28"/>
              <w:szCs w:val="28"/>
            </w:rPr>
          </w:pPr>
          <w:r>
            <w:fldChar w:fldCharType="begin"/>
          </w:r>
          <w:r>
            <w:instrText xml:space="preserve"> HYPERLINK \l "_Toc31518" </w:instrText>
          </w:r>
          <w:r>
            <w:fldChar w:fldCharType="separate"/>
          </w:r>
          <w:r>
            <w:rPr>
              <w:rFonts w:eastAsia="仿宋_GB2312"/>
              <w:bCs/>
              <w:kern w:val="2"/>
              <w:sz w:val="28"/>
              <w:szCs w:val="36"/>
            </w:rPr>
            <w:t>5.2 开展生态系统保护与恢复</w:t>
          </w:r>
          <w:r>
            <w:rPr>
              <w:sz w:val="28"/>
              <w:szCs w:val="28"/>
            </w:rPr>
            <w:tab/>
          </w:r>
          <w:r>
            <w:rPr>
              <w:sz w:val="28"/>
              <w:szCs w:val="28"/>
            </w:rPr>
            <w:fldChar w:fldCharType="begin"/>
          </w:r>
          <w:r>
            <w:rPr>
              <w:sz w:val="28"/>
              <w:szCs w:val="28"/>
            </w:rPr>
            <w:instrText xml:space="preserve"> PAGEREF _Toc31518 \h </w:instrText>
          </w:r>
          <w:r>
            <w:rPr>
              <w:sz w:val="28"/>
              <w:szCs w:val="28"/>
            </w:rPr>
            <w:fldChar w:fldCharType="separate"/>
          </w:r>
          <w:r>
            <w:rPr>
              <w:sz w:val="28"/>
              <w:szCs w:val="28"/>
            </w:rPr>
            <w:t>33</w:t>
          </w:r>
          <w:r>
            <w:rPr>
              <w:sz w:val="28"/>
              <w:szCs w:val="28"/>
            </w:rPr>
            <w:fldChar w:fldCharType="end"/>
          </w:r>
          <w:r>
            <w:rPr>
              <w:sz w:val="28"/>
              <w:szCs w:val="28"/>
            </w:rPr>
            <w:fldChar w:fldCharType="end"/>
          </w:r>
        </w:p>
        <w:p w14:paraId="64DC8C7D">
          <w:pPr>
            <w:pStyle w:val="12"/>
            <w:tabs>
              <w:tab w:val="right" w:leader="dot" w:pos="8306"/>
            </w:tabs>
            <w:ind w:left="480"/>
            <w:rPr>
              <w:sz w:val="28"/>
              <w:szCs w:val="28"/>
            </w:rPr>
          </w:pPr>
          <w:r>
            <w:fldChar w:fldCharType="begin"/>
          </w:r>
          <w:r>
            <w:instrText xml:space="preserve"> HYPERLINK \l "_Toc30582" </w:instrText>
          </w:r>
          <w:r>
            <w:fldChar w:fldCharType="separate"/>
          </w:r>
          <w:r>
            <w:rPr>
              <w:rFonts w:eastAsia="仿宋_GB2312"/>
              <w:bCs/>
              <w:kern w:val="2"/>
              <w:sz w:val="28"/>
              <w:szCs w:val="36"/>
            </w:rPr>
            <w:t>5.3 加强重要物种保护</w:t>
          </w:r>
          <w:r>
            <w:rPr>
              <w:sz w:val="28"/>
              <w:szCs w:val="28"/>
            </w:rPr>
            <w:tab/>
          </w:r>
          <w:r>
            <w:rPr>
              <w:sz w:val="28"/>
              <w:szCs w:val="28"/>
            </w:rPr>
            <w:fldChar w:fldCharType="begin"/>
          </w:r>
          <w:r>
            <w:rPr>
              <w:sz w:val="28"/>
              <w:szCs w:val="28"/>
            </w:rPr>
            <w:instrText xml:space="preserve"> PAGEREF _Toc30582 \h </w:instrText>
          </w:r>
          <w:r>
            <w:rPr>
              <w:sz w:val="28"/>
              <w:szCs w:val="28"/>
            </w:rPr>
            <w:fldChar w:fldCharType="separate"/>
          </w:r>
          <w:r>
            <w:rPr>
              <w:sz w:val="28"/>
              <w:szCs w:val="28"/>
            </w:rPr>
            <w:t>36</w:t>
          </w:r>
          <w:r>
            <w:rPr>
              <w:sz w:val="28"/>
              <w:szCs w:val="28"/>
            </w:rPr>
            <w:fldChar w:fldCharType="end"/>
          </w:r>
          <w:r>
            <w:rPr>
              <w:sz w:val="28"/>
              <w:szCs w:val="28"/>
            </w:rPr>
            <w:fldChar w:fldCharType="end"/>
          </w:r>
        </w:p>
        <w:p w14:paraId="1BC8EA75">
          <w:pPr>
            <w:pStyle w:val="12"/>
            <w:tabs>
              <w:tab w:val="right" w:leader="dot" w:pos="8306"/>
            </w:tabs>
            <w:ind w:left="480"/>
            <w:rPr>
              <w:sz w:val="28"/>
              <w:szCs w:val="28"/>
            </w:rPr>
          </w:pPr>
          <w:r>
            <w:fldChar w:fldCharType="begin"/>
          </w:r>
          <w:r>
            <w:instrText xml:space="preserve"> HYPERLINK \l "_Toc9786" </w:instrText>
          </w:r>
          <w:r>
            <w:fldChar w:fldCharType="separate"/>
          </w:r>
          <w:r>
            <w:rPr>
              <w:rFonts w:eastAsia="仿宋_GB2312"/>
              <w:bCs/>
              <w:kern w:val="2"/>
              <w:sz w:val="28"/>
              <w:szCs w:val="36"/>
            </w:rPr>
            <w:t>5.4 建立健全生物多样性监测与评估体系</w:t>
          </w:r>
          <w:r>
            <w:rPr>
              <w:sz w:val="28"/>
              <w:szCs w:val="28"/>
            </w:rPr>
            <w:tab/>
          </w:r>
          <w:r>
            <w:rPr>
              <w:sz w:val="28"/>
              <w:szCs w:val="28"/>
            </w:rPr>
            <w:fldChar w:fldCharType="begin"/>
          </w:r>
          <w:r>
            <w:rPr>
              <w:sz w:val="28"/>
              <w:szCs w:val="28"/>
            </w:rPr>
            <w:instrText xml:space="preserve"> PAGEREF _Toc9786 \h </w:instrText>
          </w:r>
          <w:r>
            <w:rPr>
              <w:sz w:val="28"/>
              <w:szCs w:val="28"/>
            </w:rPr>
            <w:fldChar w:fldCharType="separate"/>
          </w:r>
          <w:r>
            <w:rPr>
              <w:sz w:val="28"/>
              <w:szCs w:val="28"/>
            </w:rPr>
            <w:t>40</w:t>
          </w:r>
          <w:r>
            <w:rPr>
              <w:sz w:val="28"/>
              <w:szCs w:val="28"/>
            </w:rPr>
            <w:fldChar w:fldCharType="end"/>
          </w:r>
          <w:r>
            <w:rPr>
              <w:sz w:val="28"/>
              <w:szCs w:val="28"/>
            </w:rPr>
            <w:fldChar w:fldCharType="end"/>
          </w:r>
        </w:p>
        <w:p w14:paraId="55417182">
          <w:pPr>
            <w:pStyle w:val="12"/>
            <w:tabs>
              <w:tab w:val="right" w:leader="dot" w:pos="8306"/>
            </w:tabs>
            <w:ind w:left="480"/>
            <w:rPr>
              <w:sz w:val="28"/>
              <w:szCs w:val="28"/>
            </w:rPr>
          </w:pPr>
          <w:r>
            <w:fldChar w:fldCharType="begin"/>
          </w:r>
          <w:r>
            <w:instrText xml:space="preserve"> HYPERLINK \l "_Toc30902" </w:instrText>
          </w:r>
          <w:r>
            <w:fldChar w:fldCharType="separate"/>
          </w:r>
          <w:r>
            <w:rPr>
              <w:rFonts w:eastAsia="仿宋_GB2312"/>
              <w:bCs/>
              <w:kern w:val="2"/>
              <w:sz w:val="28"/>
              <w:szCs w:val="36"/>
            </w:rPr>
            <w:t>5.5 提升生物多样性安全管理水平</w:t>
          </w:r>
          <w:r>
            <w:rPr>
              <w:sz w:val="28"/>
              <w:szCs w:val="28"/>
            </w:rPr>
            <w:tab/>
          </w:r>
          <w:r>
            <w:rPr>
              <w:sz w:val="28"/>
              <w:szCs w:val="28"/>
            </w:rPr>
            <w:fldChar w:fldCharType="begin"/>
          </w:r>
          <w:r>
            <w:rPr>
              <w:sz w:val="28"/>
              <w:szCs w:val="28"/>
            </w:rPr>
            <w:instrText xml:space="preserve"> PAGEREF _Toc30902 \h </w:instrText>
          </w:r>
          <w:r>
            <w:rPr>
              <w:sz w:val="28"/>
              <w:szCs w:val="28"/>
            </w:rPr>
            <w:fldChar w:fldCharType="separate"/>
          </w:r>
          <w:r>
            <w:rPr>
              <w:sz w:val="28"/>
              <w:szCs w:val="28"/>
            </w:rPr>
            <w:t>44</w:t>
          </w:r>
          <w:r>
            <w:rPr>
              <w:sz w:val="28"/>
              <w:szCs w:val="28"/>
            </w:rPr>
            <w:fldChar w:fldCharType="end"/>
          </w:r>
          <w:r>
            <w:rPr>
              <w:sz w:val="28"/>
              <w:szCs w:val="28"/>
            </w:rPr>
            <w:fldChar w:fldCharType="end"/>
          </w:r>
        </w:p>
        <w:p w14:paraId="6B5D7CAB">
          <w:pPr>
            <w:pStyle w:val="12"/>
            <w:tabs>
              <w:tab w:val="right" w:leader="dot" w:pos="8306"/>
            </w:tabs>
            <w:ind w:left="480"/>
            <w:rPr>
              <w:sz w:val="28"/>
              <w:szCs w:val="28"/>
            </w:rPr>
          </w:pPr>
          <w:r>
            <w:fldChar w:fldCharType="begin"/>
          </w:r>
          <w:r>
            <w:instrText xml:space="preserve"> HYPERLINK \l "_Toc18006" </w:instrText>
          </w:r>
          <w:r>
            <w:fldChar w:fldCharType="separate"/>
          </w:r>
          <w:r>
            <w:rPr>
              <w:rFonts w:eastAsia="仿宋_GB2312"/>
              <w:bCs/>
              <w:kern w:val="2"/>
              <w:sz w:val="28"/>
              <w:szCs w:val="36"/>
            </w:rPr>
            <w:t>5.6 提升生物多样性可持续利用水平</w:t>
          </w:r>
          <w:r>
            <w:rPr>
              <w:sz w:val="28"/>
              <w:szCs w:val="28"/>
            </w:rPr>
            <w:tab/>
          </w:r>
          <w:r>
            <w:rPr>
              <w:sz w:val="28"/>
              <w:szCs w:val="28"/>
            </w:rPr>
            <w:fldChar w:fldCharType="begin"/>
          </w:r>
          <w:r>
            <w:rPr>
              <w:sz w:val="28"/>
              <w:szCs w:val="28"/>
            </w:rPr>
            <w:instrText xml:space="preserve"> PAGEREF _Toc18006 \h </w:instrText>
          </w:r>
          <w:r>
            <w:rPr>
              <w:sz w:val="28"/>
              <w:szCs w:val="28"/>
            </w:rPr>
            <w:fldChar w:fldCharType="separate"/>
          </w:r>
          <w:r>
            <w:rPr>
              <w:sz w:val="28"/>
              <w:szCs w:val="28"/>
            </w:rPr>
            <w:t>46</w:t>
          </w:r>
          <w:r>
            <w:rPr>
              <w:sz w:val="28"/>
              <w:szCs w:val="28"/>
            </w:rPr>
            <w:fldChar w:fldCharType="end"/>
          </w:r>
          <w:r>
            <w:rPr>
              <w:sz w:val="28"/>
              <w:szCs w:val="28"/>
            </w:rPr>
            <w:fldChar w:fldCharType="end"/>
          </w:r>
        </w:p>
        <w:p w14:paraId="0CD2ABBB">
          <w:pPr>
            <w:pStyle w:val="12"/>
            <w:tabs>
              <w:tab w:val="right" w:leader="dot" w:pos="8306"/>
            </w:tabs>
            <w:ind w:left="480"/>
            <w:rPr>
              <w:sz w:val="28"/>
              <w:szCs w:val="28"/>
            </w:rPr>
          </w:pPr>
          <w:r>
            <w:fldChar w:fldCharType="begin"/>
          </w:r>
          <w:r>
            <w:instrText xml:space="preserve"> HYPERLINK \l "_Toc10734" </w:instrText>
          </w:r>
          <w:r>
            <w:fldChar w:fldCharType="separate"/>
          </w:r>
          <w:r>
            <w:rPr>
              <w:rFonts w:eastAsia="仿宋_GB2312"/>
              <w:bCs/>
              <w:kern w:val="2"/>
              <w:sz w:val="28"/>
              <w:szCs w:val="36"/>
            </w:rPr>
            <w:t>5.7 营造生物多样性保护友好氛围</w:t>
          </w:r>
          <w:r>
            <w:rPr>
              <w:sz w:val="28"/>
              <w:szCs w:val="28"/>
            </w:rPr>
            <w:tab/>
          </w:r>
          <w:r>
            <w:rPr>
              <w:sz w:val="28"/>
              <w:szCs w:val="28"/>
            </w:rPr>
            <w:fldChar w:fldCharType="begin"/>
          </w:r>
          <w:r>
            <w:rPr>
              <w:sz w:val="28"/>
              <w:szCs w:val="28"/>
            </w:rPr>
            <w:instrText xml:space="preserve"> PAGEREF _Toc10734 \h </w:instrText>
          </w:r>
          <w:r>
            <w:rPr>
              <w:sz w:val="28"/>
              <w:szCs w:val="28"/>
            </w:rPr>
            <w:fldChar w:fldCharType="separate"/>
          </w:r>
          <w:r>
            <w:rPr>
              <w:sz w:val="28"/>
              <w:szCs w:val="28"/>
            </w:rPr>
            <w:t>49</w:t>
          </w:r>
          <w:r>
            <w:rPr>
              <w:sz w:val="28"/>
              <w:szCs w:val="28"/>
            </w:rPr>
            <w:fldChar w:fldCharType="end"/>
          </w:r>
          <w:r>
            <w:rPr>
              <w:sz w:val="28"/>
              <w:szCs w:val="28"/>
            </w:rPr>
            <w:fldChar w:fldCharType="end"/>
          </w:r>
        </w:p>
        <w:p w14:paraId="7F9125F9">
          <w:pPr>
            <w:pStyle w:val="12"/>
            <w:tabs>
              <w:tab w:val="right" w:leader="dot" w:pos="8306"/>
            </w:tabs>
            <w:ind w:left="480"/>
            <w:rPr>
              <w:sz w:val="28"/>
              <w:szCs w:val="28"/>
            </w:rPr>
          </w:pPr>
          <w:r>
            <w:fldChar w:fldCharType="begin"/>
          </w:r>
          <w:r>
            <w:instrText xml:space="preserve"> HYPERLINK \l "_Toc1713" </w:instrText>
          </w:r>
          <w:r>
            <w:fldChar w:fldCharType="separate"/>
          </w:r>
          <w:r>
            <w:rPr>
              <w:rFonts w:eastAsia="仿宋_GB2312"/>
              <w:bCs/>
              <w:kern w:val="2"/>
              <w:sz w:val="28"/>
              <w:szCs w:val="36"/>
            </w:rPr>
            <w:t>5.8 严格执法检查和监督评估</w:t>
          </w:r>
          <w:r>
            <w:rPr>
              <w:sz w:val="28"/>
              <w:szCs w:val="28"/>
            </w:rPr>
            <w:tab/>
          </w:r>
          <w:r>
            <w:rPr>
              <w:sz w:val="28"/>
              <w:szCs w:val="28"/>
            </w:rPr>
            <w:fldChar w:fldCharType="begin"/>
          </w:r>
          <w:r>
            <w:rPr>
              <w:sz w:val="28"/>
              <w:szCs w:val="28"/>
            </w:rPr>
            <w:instrText xml:space="preserve"> PAGEREF _Toc1713 \h </w:instrText>
          </w:r>
          <w:r>
            <w:rPr>
              <w:sz w:val="28"/>
              <w:szCs w:val="28"/>
            </w:rPr>
            <w:fldChar w:fldCharType="separate"/>
          </w:r>
          <w:r>
            <w:rPr>
              <w:sz w:val="28"/>
              <w:szCs w:val="28"/>
            </w:rPr>
            <w:t>50</w:t>
          </w:r>
          <w:r>
            <w:rPr>
              <w:sz w:val="28"/>
              <w:szCs w:val="28"/>
            </w:rPr>
            <w:fldChar w:fldCharType="end"/>
          </w:r>
          <w:r>
            <w:rPr>
              <w:sz w:val="28"/>
              <w:szCs w:val="28"/>
            </w:rPr>
            <w:fldChar w:fldCharType="end"/>
          </w:r>
        </w:p>
        <w:p w14:paraId="1D7EFB88">
          <w:pPr>
            <w:pStyle w:val="9"/>
            <w:tabs>
              <w:tab w:val="right" w:leader="dot" w:pos="8306"/>
            </w:tabs>
            <w:rPr>
              <w:sz w:val="28"/>
              <w:szCs w:val="28"/>
            </w:rPr>
          </w:pPr>
          <w:r>
            <w:fldChar w:fldCharType="begin"/>
          </w:r>
          <w:r>
            <w:instrText xml:space="preserve"> HYPERLINK \l "_Toc21234" </w:instrText>
          </w:r>
          <w:r>
            <w:fldChar w:fldCharType="separate"/>
          </w:r>
          <w:r>
            <w:rPr>
              <w:rFonts w:eastAsia="仿宋_GB2312"/>
              <w:bCs/>
              <w:kern w:val="44"/>
              <w:sz w:val="28"/>
              <w:szCs w:val="48"/>
            </w:rPr>
            <w:t>第六章 保障措施</w:t>
          </w:r>
          <w:r>
            <w:rPr>
              <w:sz w:val="28"/>
              <w:szCs w:val="28"/>
            </w:rPr>
            <w:tab/>
          </w:r>
          <w:r>
            <w:rPr>
              <w:sz w:val="28"/>
              <w:szCs w:val="28"/>
            </w:rPr>
            <w:fldChar w:fldCharType="begin"/>
          </w:r>
          <w:r>
            <w:rPr>
              <w:sz w:val="28"/>
              <w:szCs w:val="28"/>
            </w:rPr>
            <w:instrText xml:space="preserve"> PAGEREF _Toc21234 \h </w:instrText>
          </w:r>
          <w:r>
            <w:rPr>
              <w:sz w:val="28"/>
              <w:szCs w:val="28"/>
            </w:rPr>
            <w:fldChar w:fldCharType="separate"/>
          </w:r>
          <w:r>
            <w:rPr>
              <w:sz w:val="28"/>
              <w:szCs w:val="28"/>
            </w:rPr>
            <w:t>53</w:t>
          </w:r>
          <w:r>
            <w:rPr>
              <w:sz w:val="28"/>
              <w:szCs w:val="28"/>
            </w:rPr>
            <w:fldChar w:fldCharType="end"/>
          </w:r>
          <w:r>
            <w:rPr>
              <w:sz w:val="28"/>
              <w:szCs w:val="28"/>
            </w:rPr>
            <w:fldChar w:fldCharType="end"/>
          </w:r>
        </w:p>
        <w:p w14:paraId="7DC31276">
          <w:pPr>
            <w:pStyle w:val="12"/>
            <w:tabs>
              <w:tab w:val="right" w:leader="dot" w:pos="8306"/>
            </w:tabs>
            <w:ind w:left="480"/>
            <w:rPr>
              <w:sz w:val="28"/>
              <w:szCs w:val="28"/>
            </w:rPr>
          </w:pPr>
          <w:r>
            <w:fldChar w:fldCharType="begin"/>
          </w:r>
          <w:r>
            <w:instrText xml:space="preserve"> HYPERLINK \l "_Toc6911" </w:instrText>
          </w:r>
          <w:r>
            <w:fldChar w:fldCharType="separate"/>
          </w:r>
          <w:r>
            <w:rPr>
              <w:rFonts w:eastAsia="仿宋_GB2312"/>
              <w:bCs/>
              <w:kern w:val="2"/>
              <w:sz w:val="28"/>
              <w:szCs w:val="36"/>
            </w:rPr>
            <w:t>6.1 加强组织领导</w:t>
          </w:r>
          <w:r>
            <w:rPr>
              <w:sz w:val="28"/>
              <w:szCs w:val="28"/>
            </w:rPr>
            <w:tab/>
          </w:r>
          <w:r>
            <w:rPr>
              <w:sz w:val="28"/>
              <w:szCs w:val="28"/>
            </w:rPr>
            <w:fldChar w:fldCharType="begin"/>
          </w:r>
          <w:r>
            <w:rPr>
              <w:sz w:val="28"/>
              <w:szCs w:val="28"/>
            </w:rPr>
            <w:instrText xml:space="preserve"> PAGEREF _Toc6911 \h </w:instrText>
          </w:r>
          <w:r>
            <w:rPr>
              <w:sz w:val="28"/>
              <w:szCs w:val="28"/>
            </w:rPr>
            <w:fldChar w:fldCharType="separate"/>
          </w:r>
          <w:r>
            <w:rPr>
              <w:sz w:val="28"/>
              <w:szCs w:val="28"/>
            </w:rPr>
            <w:t>53</w:t>
          </w:r>
          <w:r>
            <w:rPr>
              <w:sz w:val="28"/>
              <w:szCs w:val="28"/>
            </w:rPr>
            <w:fldChar w:fldCharType="end"/>
          </w:r>
          <w:r>
            <w:rPr>
              <w:sz w:val="28"/>
              <w:szCs w:val="28"/>
            </w:rPr>
            <w:fldChar w:fldCharType="end"/>
          </w:r>
        </w:p>
        <w:p w14:paraId="24BFEDDB">
          <w:pPr>
            <w:pStyle w:val="12"/>
            <w:tabs>
              <w:tab w:val="right" w:leader="dot" w:pos="8306"/>
            </w:tabs>
            <w:ind w:left="480"/>
            <w:rPr>
              <w:sz w:val="28"/>
              <w:szCs w:val="28"/>
            </w:rPr>
          </w:pPr>
          <w:r>
            <w:fldChar w:fldCharType="begin"/>
          </w:r>
          <w:r>
            <w:instrText xml:space="preserve"> HYPERLINK \l "_Toc32533" </w:instrText>
          </w:r>
          <w:r>
            <w:fldChar w:fldCharType="separate"/>
          </w:r>
          <w:r>
            <w:rPr>
              <w:rFonts w:eastAsia="仿宋_GB2312"/>
              <w:bCs/>
              <w:kern w:val="2"/>
              <w:sz w:val="28"/>
              <w:szCs w:val="36"/>
            </w:rPr>
            <w:t>6.2 加大资金保障</w:t>
          </w:r>
          <w:r>
            <w:rPr>
              <w:sz w:val="28"/>
              <w:szCs w:val="28"/>
            </w:rPr>
            <w:tab/>
          </w:r>
          <w:r>
            <w:rPr>
              <w:sz w:val="28"/>
              <w:szCs w:val="28"/>
            </w:rPr>
            <w:fldChar w:fldCharType="begin"/>
          </w:r>
          <w:r>
            <w:rPr>
              <w:sz w:val="28"/>
              <w:szCs w:val="28"/>
            </w:rPr>
            <w:instrText xml:space="preserve"> PAGEREF _Toc32533 \h </w:instrText>
          </w:r>
          <w:r>
            <w:rPr>
              <w:sz w:val="28"/>
              <w:szCs w:val="28"/>
            </w:rPr>
            <w:fldChar w:fldCharType="separate"/>
          </w:r>
          <w:r>
            <w:rPr>
              <w:sz w:val="28"/>
              <w:szCs w:val="28"/>
            </w:rPr>
            <w:t>53</w:t>
          </w:r>
          <w:r>
            <w:rPr>
              <w:sz w:val="28"/>
              <w:szCs w:val="28"/>
            </w:rPr>
            <w:fldChar w:fldCharType="end"/>
          </w:r>
          <w:r>
            <w:rPr>
              <w:sz w:val="28"/>
              <w:szCs w:val="28"/>
            </w:rPr>
            <w:fldChar w:fldCharType="end"/>
          </w:r>
        </w:p>
        <w:p w14:paraId="66FD7550">
          <w:pPr>
            <w:pStyle w:val="12"/>
            <w:tabs>
              <w:tab w:val="right" w:leader="dot" w:pos="8306"/>
            </w:tabs>
            <w:ind w:left="480"/>
            <w:rPr>
              <w:sz w:val="28"/>
              <w:szCs w:val="28"/>
            </w:rPr>
          </w:pPr>
          <w:r>
            <w:fldChar w:fldCharType="begin"/>
          </w:r>
          <w:r>
            <w:instrText xml:space="preserve"> HYPERLINK \l "_Toc5644" </w:instrText>
          </w:r>
          <w:r>
            <w:fldChar w:fldCharType="separate"/>
          </w:r>
          <w:r>
            <w:rPr>
              <w:rFonts w:eastAsia="仿宋_GB2312"/>
              <w:bCs/>
              <w:kern w:val="2"/>
              <w:sz w:val="28"/>
              <w:szCs w:val="36"/>
            </w:rPr>
            <w:t>6.3 强化科技支撑</w:t>
          </w:r>
          <w:r>
            <w:rPr>
              <w:sz w:val="28"/>
              <w:szCs w:val="28"/>
            </w:rPr>
            <w:tab/>
          </w:r>
          <w:r>
            <w:rPr>
              <w:sz w:val="28"/>
              <w:szCs w:val="28"/>
            </w:rPr>
            <w:fldChar w:fldCharType="begin"/>
          </w:r>
          <w:r>
            <w:rPr>
              <w:sz w:val="28"/>
              <w:szCs w:val="28"/>
            </w:rPr>
            <w:instrText xml:space="preserve"> PAGEREF _Toc5644 \h </w:instrText>
          </w:r>
          <w:r>
            <w:rPr>
              <w:sz w:val="28"/>
              <w:szCs w:val="28"/>
            </w:rPr>
            <w:fldChar w:fldCharType="separate"/>
          </w:r>
          <w:r>
            <w:rPr>
              <w:sz w:val="28"/>
              <w:szCs w:val="28"/>
            </w:rPr>
            <w:t>53</w:t>
          </w:r>
          <w:r>
            <w:rPr>
              <w:sz w:val="28"/>
              <w:szCs w:val="28"/>
            </w:rPr>
            <w:fldChar w:fldCharType="end"/>
          </w:r>
          <w:r>
            <w:rPr>
              <w:sz w:val="28"/>
              <w:szCs w:val="28"/>
            </w:rPr>
            <w:fldChar w:fldCharType="end"/>
          </w:r>
        </w:p>
        <w:p w14:paraId="7D3ACFE9">
          <w:pPr>
            <w:pStyle w:val="12"/>
            <w:tabs>
              <w:tab w:val="right" w:leader="dot" w:pos="8306"/>
            </w:tabs>
            <w:ind w:left="480"/>
            <w:rPr>
              <w:sz w:val="28"/>
              <w:szCs w:val="28"/>
            </w:rPr>
          </w:pPr>
          <w:r>
            <w:fldChar w:fldCharType="begin"/>
          </w:r>
          <w:r>
            <w:instrText xml:space="preserve"> HYPERLINK \l "_Toc24496" </w:instrText>
          </w:r>
          <w:r>
            <w:fldChar w:fldCharType="separate"/>
          </w:r>
          <w:r>
            <w:rPr>
              <w:rFonts w:eastAsia="仿宋_GB2312"/>
              <w:bCs/>
              <w:kern w:val="2"/>
              <w:sz w:val="28"/>
              <w:szCs w:val="36"/>
            </w:rPr>
            <w:t>6.4 加强宣传推广</w:t>
          </w:r>
          <w:r>
            <w:rPr>
              <w:sz w:val="28"/>
              <w:szCs w:val="28"/>
            </w:rPr>
            <w:tab/>
          </w:r>
          <w:r>
            <w:rPr>
              <w:sz w:val="28"/>
              <w:szCs w:val="28"/>
            </w:rPr>
            <w:fldChar w:fldCharType="begin"/>
          </w:r>
          <w:r>
            <w:rPr>
              <w:sz w:val="28"/>
              <w:szCs w:val="28"/>
            </w:rPr>
            <w:instrText xml:space="preserve"> PAGEREF _Toc24496 \h </w:instrText>
          </w:r>
          <w:r>
            <w:rPr>
              <w:sz w:val="28"/>
              <w:szCs w:val="28"/>
            </w:rPr>
            <w:fldChar w:fldCharType="separate"/>
          </w:r>
          <w:r>
            <w:rPr>
              <w:sz w:val="28"/>
              <w:szCs w:val="28"/>
            </w:rPr>
            <w:t>54</w:t>
          </w:r>
          <w:r>
            <w:rPr>
              <w:sz w:val="28"/>
              <w:szCs w:val="28"/>
            </w:rPr>
            <w:fldChar w:fldCharType="end"/>
          </w:r>
          <w:r>
            <w:rPr>
              <w:sz w:val="28"/>
              <w:szCs w:val="28"/>
            </w:rPr>
            <w:fldChar w:fldCharType="end"/>
          </w:r>
        </w:p>
        <w:p w14:paraId="6ABDAEB6">
          <w:pPr>
            <w:pStyle w:val="9"/>
            <w:tabs>
              <w:tab w:val="right" w:leader="dot" w:pos="8306"/>
            </w:tabs>
            <w:rPr>
              <w:sz w:val="28"/>
              <w:szCs w:val="28"/>
            </w:rPr>
          </w:pPr>
          <w:r>
            <w:fldChar w:fldCharType="begin"/>
          </w:r>
          <w:r>
            <w:instrText xml:space="preserve"> HYPERLINK \l "_Toc3742" </w:instrText>
          </w:r>
          <w:r>
            <w:fldChar w:fldCharType="separate"/>
          </w:r>
          <w:r>
            <w:rPr>
              <w:rFonts w:eastAsia="仿宋_GB2312"/>
              <w:sz w:val="28"/>
              <w:szCs w:val="32"/>
            </w:rPr>
            <w:t>附录1 重点项目清单</w:t>
          </w:r>
          <w:r>
            <w:rPr>
              <w:sz w:val="28"/>
              <w:szCs w:val="28"/>
            </w:rPr>
            <w:tab/>
          </w:r>
          <w:r>
            <w:rPr>
              <w:sz w:val="28"/>
              <w:szCs w:val="28"/>
            </w:rPr>
            <w:fldChar w:fldCharType="begin"/>
          </w:r>
          <w:r>
            <w:rPr>
              <w:sz w:val="28"/>
              <w:szCs w:val="28"/>
            </w:rPr>
            <w:instrText xml:space="preserve"> PAGEREF _Toc3742 \h </w:instrText>
          </w:r>
          <w:r>
            <w:rPr>
              <w:sz w:val="28"/>
              <w:szCs w:val="28"/>
            </w:rPr>
            <w:fldChar w:fldCharType="separate"/>
          </w:r>
          <w:r>
            <w:rPr>
              <w:sz w:val="28"/>
              <w:szCs w:val="28"/>
            </w:rPr>
            <w:t>55</w:t>
          </w:r>
          <w:r>
            <w:rPr>
              <w:sz w:val="28"/>
              <w:szCs w:val="28"/>
            </w:rPr>
            <w:fldChar w:fldCharType="end"/>
          </w:r>
          <w:r>
            <w:rPr>
              <w:sz w:val="28"/>
              <w:szCs w:val="28"/>
            </w:rPr>
            <w:fldChar w:fldCharType="end"/>
          </w:r>
        </w:p>
        <w:p w14:paraId="0C35461E">
          <w:pPr>
            <w:pStyle w:val="9"/>
            <w:tabs>
              <w:tab w:val="right" w:leader="dot" w:pos="8306"/>
            </w:tabs>
            <w:rPr>
              <w:sz w:val="28"/>
              <w:szCs w:val="28"/>
            </w:rPr>
          </w:pPr>
          <w:r>
            <w:fldChar w:fldCharType="begin"/>
          </w:r>
          <w:r>
            <w:instrText xml:space="preserve"> HYPERLINK \l "_Toc30706" </w:instrText>
          </w:r>
          <w:r>
            <w:fldChar w:fldCharType="separate"/>
          </w:r>
          <w:r>
            <w:rPr>
              <w:rFonts w:eastAsia="仿宋_GB2312"/>
              <w:sz w:val="28"/>
              <w:szCs w:val="32"/>
            </w:rPr>
            <w:t>附录2 靖江市优先保护植物名录</w:t>
          </w:r>
          <w:r>
            <w:rPr>
              <w:sz w:val="28"/>
              <w:szCs w:val="28"/>
            </w:rPr>
            <w:tab/>
          </w:r>
          <w:r>
            <w:rPr>
              <w:sz w:val="28"/>
              <w:szCs w:val="28"/>
            </w:rPr>
            <w:fldChar w:fldCharType="begin"/>
          </w:r>
          <w:r>
            <w:rPr>
              <w:sz w:val="28"/>
              <w:szCs w:val="28"/>
            </w:rPr>
            <w:instrText xml:space="preserve"> PAGEREF _Toc30706 \h </w:instrText>
          </w:r>
          <w:r>
            <w:rPr>
              <w:sz w:val="28"/>
              <w:szCs w:val="28"/>
            </w:rPr>
            <w:fldChar w:fldCharType="separate"/>
          </w:r>
          <w:r>
            <w:rPr>
              <w:sz w:val="28"/>
              <w:szCs w:val="28"/>
            </w:rPr>
            <w:t>58</w:t>
          </w:r>
          <w:r>
            <w:rPr>
              <w:sz w:val="28"/>
              <w:szCs w:val="28"/>
            </w:rPr>
            <w:fldChar w:fldCharType="end"/>
          </w:r>
          <w:r>
            <w:rPr>
              <w:sz w:val="28"/>
              <w:szCs w:val="28"/>
            </w:rPr>
            <w:fldChar w:fldCharType="end"/>
          </w:r>
        </w:p>
        <w:p w14:paraId="0B97B1F1">
          <w:pPr>
            <w:pStyle w:val="9"/>
            <w:tabs>
              <w:tab w:val="right" w:leader="dot" w:pos="8306"/>
            </w:tabs>
            <w:rPr>
              <w:sz w:val="28"/>
              <w:szCs w:val="28"/>
            </w:rPr>
          </w:pPr>
          <w:r>
            <w:fldChar w:fldCharType="begin"/>
          </w:r>
          <w:r>
            <w:instrText xml:space="preserve"> HYPERLINK \l "_Toc19591" </w:instrText>
          </w:r>
          <w:r>
            <w:fldChar w:fldCharType="separate"/>
          </w:r>
          <w:r>
            <w:rPr>
              <w:rFonts w:eastAsia="仿宋_GB2312"/>
              <w:sz w:val="28"/>
              <w:szCs w:val="32"/>
            </w:rPr>
            <w:t>附录3 靖江市优先保护动物名录</w:t>
          </w:r>
          <w:r>
            <w:rPr>
              <w:sz w:val="28"/>
              <w:szCs w:val="28"/>
            </w:rPr>
            <w:tab/>
          </w:r>
          <w:r>
            <w:rPr>
              <w:sz w:val="28"/>
              <w:szCs w:val="28"/>
            </w:rPr>
            <w:fldChar w:fldCharType="begin"/>
          </w:r>
          <w:r>
            <w:rPr>
              <w:sz w:val="28"/>
              <w:szCs w:val="28"/>
            </w:rPr>
            <w:instrText xml:space="preserve"> PAGEREF _Toc19591 \h </w:instrText>
          </w:r>
          <w:r>
            <w:rPr>
              <w:sz w:val="28"/>
              <w:szCs w:val="28"/>
            </w:rPr>
            <w:fldChar w:fldCharType="separate"/>
          </w:r>
          <w:r>
            <w:rPr>
              <w:sz w:val="28"/>
              <w:szCs w:val="28"/>
            </w:rPr>
            <w:t>59</w:t>
          </w:r>
          <w:r>
            <w:rPr>
              <w:sz w:val="28"/>
              <w:szCs w:val="28"/>
            </w:rPr>
            <w:fldChar w:fldCharType="end"/>
          </w:r>
          <w:r>
            <w:rPr>
              <w:sz w:val="28"/>
              <w:szCs w:val="28"/>
            </w:rPr>
            <w:fldChar w:fldCharType="end"/>
          </w:r>
        </w:p>
        <w:p w14:paraId="4210BD2C">
          <w:pPr>
            <w:pStyle w:val="9"/>
            <w:tabs>
              <w:tab w:val="right" w:leader="dot" w:pos="8306"/>
            </w:tabs>
          </w:pPr>
          <w:r>
            <w:fldChar w:fldCharType="begin"/>
          </w:r>
          <w:r>
            <w:instrText xml:space="preserve"> HYPERLINK \l "_Toc1098" </w:instrText>
          </w:r>
          <w:r>
            <w:fldChar w:fldCharType="separate"/>
          </w:r>
          <w:r>
            <w:rPr>
              <w:rFonts w:eastAsia="仿宋_GB2312"/>
              <w:sz w:val="28"/>
              <w:szCs w:val="32"/>
            </w:rPr>
            <w:t>附图</w:t>
          </w:r>
          <w:r>
            <w:rPr>
              <w:sz w:val="28"/>
              <w:szCs w:val="28"/>
            </w:rPr>
            <w:tab/>
          </w:r>
          <w:r>
            <w:rPr>
              <w:sz w:val="28"/>
              <w:szCs w:val="28"/>
            </w:rPr>
            <w:fldChar w:fldCharType="begin"/>
          </w:r>
          <w:r>
            <w:rPr>
              <w:sz w:val="28"/>
              <w:szCs w:val="28"/>
            </w:rPr>
            <w:instrText xml:space="preserve"> PAGEREF _Toc1098 \h </w:instrText>
          </w:r>
          <w:r>
            <w:rPr>
              <w:sz w:val="28"/>
              <w:szCs w:val="28"/>
            </w:rPr>
            <w:fldChar w:fldCharType="separate"/>
          </w:r>
          <w:r>
            <w:rPr>
              <w:sz w:val="28"/>
              <w:szCs w:val="28"/>
            </w:rPr>
            <w:t>62</w:t>
          </w:r>
          <w:r>
            <w:rPr>
              <w:sz w:val="28"/>
              <w:szCs w:val="28"/>
            </w:rPr>
            <w:fldChar w:fldCharType="end"/>
          </w:r>
          <w:r>
            <w:rPr>
              <w:sz w:val="28"/>
              <w:szCs w:val="28"/>
            </w:rPr>
            <w:fldChar w:fldCharType="end"/>
          </w:r>
        </w:p>
        <w:p w14:paraId="0760822C">
          <w:pPr>
            <w:pStyle w:val="9"/>
            <w:tabs>
              <w:tab w:val="right" w:leader="dot" w:pos="8306"/>
            </w:tabs>
            <w:rPr>
              <w:rFonts w:eastAsia="仿宋_GB2312"/>
              <w:bCs/>
              <w:kern w:val="44"/>
              <w:sz w:val="32"/>
              <w:szCs w:val="32"/>
            </w:rPr>
          </w:pPr>
          <w:r>
            <w:rPr>
              <w:rFonts w:eastAsia="仿宋_GB2312"/>
              <w:bCs/>
              <w:kern w:val="44"/>
              <w:sz w:val="32"/>
              <w:szCs w:val="32"/>
            </w:rPr>
            <w:fldChar w:fldCharType="end"/>
          </w:r>
        </w:p>
      </w:sdtContent>
    </w:sdt>
    <w:p w14:paraId="7F2D0DC9">
      <w:pPr>
        <w:rPr>
          <w:rFonts w:eastAsia="仿宋_GB2312"/>
          <w:sz w:val="32"/>
          <w:szCs w:val="32"/>
        </w:rPr>
        <w:sectPr>
          <w:pgSz w:w="11906" w:h="16838"/>
          <w:pgMar w:top="1440" w:right="1800" w:bottom="1440" w:left="1800" w:header="851" w:footer="992" w:gutter="0"/>
          <w:pgNumType w:fmt="upperRoman" w:start="1"/>
          <w:cols w:space="425" w:num="1"/>
          <w:docGrid w:type="lines" w:linePitch="312" w:charSpace="0"/>
        </w:sectPr>
      </w:pPr>
    </w:p>
    <w:p w14:paraId="64E1F230">
      <w:pPr>
        <w:keepNext/>
        <w:keepLines/>
        <w:widowControl w:val="0"/>
        <w:spacing w:before="100" w:beforeAutospacing="1" w:after="100" w:afterAutospacing="1" w:line="590" w:lineRule="exact"/>
        <w:jc w:val="center"/>
        <w:outlineLvl w:val="0"/>
        <w:rPr>
          <w:rFonts w:eastAsia="仿宋_GB2312"/>
          <w:b/>
          <w:bCs/>
          <w:kern w:val="44"/>
          <w:sz w:val="32"/>
          <w:szCs w:val="44"/>
        </w:rPr>
      </w:pPr>
      <w:bookmarkStart w:id="3" w:name="_Toc28442"/>
      <w:bookmarkStart w:id="4" w:name="_Toc3557"/>
      <w:r>
        <w:rPr>
          <w:rFonts w:eastAsia="仿宋_GB2312"/>
          <w:b/>
          <w:bCs/>
          <w:kern w:val="44"/>
          <w:sz w:val="32"/>
          <w:szCs w:val="44"/>
        </w:rPr>
        <w:t>前言</w:t>
      </w:r>
      <w:bookmarkEnd w:id="3"/>
      <w:bookmarkEnd w:id="4"/>
    </w:p>
    <w:p w14:paraId="53782BF7">
      <w:pPr>
        <w:pStyle w:val="22"/>
        <w:spacing w:line="360" w:lineRule="auto"/>
        <w:ind w:firstLine="560"/>
        <w:jc w:val="both"/>
        <w:rPr>
          <w:rFonts w:eastAsia="仿宋_GB2312"/>
          <w:sz w:val="28"/>
          <w:szCs w:val="28"/>
        </w:rPr>
      </w:pPr>
      <w:r>
        <w:rPr>
          <w:rFonts w:eastAsia="仿宋_GB2312"/>
          <w:sz w:val="28"/>
          <w:szCs w:val="28"/>
        </w:rPr>
        <w:t>生物多样性是人类赖以生存和发展的基础，是地球生命共同体的血脉和根基，为人类的生存和发展提供必要的生态支撑和生态服务。党的十八大以来，在习近平生态文明思想的科学指引下，我国持续提升生物多样性保护和管理水平，将生物多样性保护上升为国家战略。2021年，国务院新闻办公室印发《中国的生物多样性保护》白皮书，中共中央办公厅、国务院办公厅印发《关于进一步加强生物多样性保护的意见》。2022年，我国作为《生物多样性公约》第十五次缔约方大会主席国，引领国际社会</w:t>
      </w:r>
      <w:r>
        <w:rPr>
          <w:rFonts w:eastAsia="仿宋_GB2312"/>
          <w:bCs/>
          <w:sz w:val="28"/>
          <w:szCs w:val="28"/>
        </w:rPr>
        <w:t>达成了</w:t>
      </w:r>
      <w:r>
        <w:rPr>
          <w:rFonts w:eastAsia="仿宋_GB2312"/>
          <w:sz w:val="28"/>
          <w:szCs w:val="28"/>
        </w:rPr>
        <w:t>“昆明-蒙特利尔全球生物多样性框架”（以下简称“昆蒙框架”）</w:t>
      </w:r>
      <w:r>
        <w:rPr>
          <w:rFonts w:eastAsia="仿宋_GB2312"/>
          <w:bCs/>
          <w:sz w:val="28"/>
          <w:szCs w:val="28"/>
        </w:rPr>
        <w:t>，为未来十年乃至更长一段时间的全球生物多样性治理擘画了新蓝图。2024年，为贯彻落实“昆蒙框架”，我国率先更新发布《中国生物多样性保护战略与行动计划（2023—2030年）》，制定了新时期推进生物多样性保护的目标与关键行动，为全球贡献了生物多样性治理的中国方案。</w:t>
      </w:r>
    </w:p>
    <w:p w14:paraId="077DEAE9">
      <w:pPr>
        <w:pStyle w:val="22"/>
        <w:spacing w:line="360" w:lineRule="auto"/>
        <w:ind w:firstLine="560"/>
        <w:jc w:val="both"/>
        <w:rPr>
          <w:rFonts w:eastAsia="仿宋_GB2312"/>
          <w:sz w:val="28"/>
          <w:szCs w:val="28"/>
        </w:rPr>
      </w:pPr>
      <w:r>
        <w:rPr>
          <w:rFonts w:eastAsia="仿宋_GB2312"/>
          <w:sz w:val="28"/>
          <w:szCs w:val="28"/>
        </w:rPr>
        <w:t>江苏省积极贯彻落实党中央、国务院的决策部署，不断加大生物多样性保护力度。2014年，江苏省生态环境厅发布《江苏省生物多样性保护战略与行动计划（2013—2030年）》，明确要求将生物多样性保护与可持续利用纳入到部门和区域规划。2022年，江苏省委办公厅、省政府办公厅印发《关于进一步加强生物多样性保护的实施意见》，提出将生物多样性保护纳入各地区、各有关领域中长期规划；制定国民经济和社会发展五年规划时，相关地区和部门应提出生物多样性保护目标和主要任务。</w:t>
      </w:r>
    </w:p>
    <w:p w14:paraId="2FDB52F7">
      <w:pPr>
        <w:pStyle w:val="22"/>
        <w:spacing w:line="360" w:lineRule="auto"/>
        <w:ind w:firstLine="560"/>
        <w:jc w:val="both"/>
        <w:rPr>
          <w:rFonts w:eastAsia="仿宋_GB2312"/>
          <w:sz w:val="28"/>
          <w:szCs w:val="28"/>
        </w:rPr>
      </w:pPr>
      <w:r>
        <w:rPr>
          <w:rFonts w:eastAsia="仿宋_GB2312"/>
          <w:sz w:val="28"/>
          <w:szCs w:val="28"/>
        </w:rPr>
        <w:t>靖江位于泰州市东南部，地处江苏省苏北平原南端，平原辽阔，水网密布，东南西三面环江，具有良好的资源禀赋和生态条件，拥有丰富的动植物资源。近年来，靖江市委、市政府积极贯彻落实国家和省里关于长江大保护和生物多样性保护的决策部署，通过加强顶层设计、开展生物多样性调查观测研究、实施长江江豚专项调查保护、推进长江湿地生态修复、建立“生态岛”试验区等举措，全面提升生物多样性保护水平，构建人与自然和谐共生的生态环境，努力打造生物多样性保护的“靖江模式”。</w:t>
      </w:r>
    </w:p>
    <w:p w14:paraId="2E9D8A75">
      <w:pPr>
        <w:pStyle w:val="22"/>
        <w:spacing w:line="360" w:lineRule="auto"/>
        <w:ind w:firstLine="560"/>
        <w:jc w:val="both"/>
        <w:rPr>
          <w:rFonts w:eastAsia="仿宋_GB2312"/>
          <w:sz w:val="28"/>
          <w:szCs w:val="28"/>
        </w:rPr>
        <w:sectPr>
          <w:pgSz w:w="11906" w:h="16838"/>
          <w:pgMar w:top="1440" w:right="1800" w:bottom="1440" w:left="1800" w:header="851" w:footer="992" w:gutter="0"/>
          <w:pgNumType w:start="1"/>
          <w:cols w:space="425" w:num="1"/>
          <w:docGrid w:type="lines" w:linePitch="312" w:charSpace="0"/>
        </w:sectPr>
      </w:pPr>
      <w:r>
        <w:rPr>
          <w:rFonts w:eastAsia="仿宋_GB2312"/>
          <w:bCs/>
          <w:sz w:val="28"/>
          <w:szCs w:val="28"/>
        </w:rPr>
        <w:t>为进一步提升靖江市生物多样性保护能力，推动实现人与自然和谐共生现代化，泰州市靖江生态环境局组织编制了《靖江市生物多样性保护规划（2024—2035年）》，确定保护目标、主要任务、重点保护区域和重点项目等，为提升靖江市生物多样性保护和可持续利用水平提供顶层设计及决策支撑。</w:t>
      </w:r>
    </w:p>
    <w:p w14:paraId="3A7EDD22">
      <w:pPr>
        <w:keepNext/>
        <w:keepLines/>
        <w:widowControl w:val="0"/>
        <w:spacing w:before="100" w:beforeAutospacing="1" w:after="100" w:afterAutospacing="1" w:line="590" w:lineRule="exact"/>
        <w:jc w:val="center"/>
        <w:outlineLvl w:val="0"/>
        <w:rPr>
          <w:rFonts w:eastAsia="仿宋_GB2312"/>
          <w:b/>
          <w:bCs/>
          <w:kern w:val="44"/>
          <w:sz w:val="32"/>
          <w:szCs w:val="44"/>
        </w:rPr>
      </w:pPr>
      <w:bookmarkStart w:id="5" w:name="_Toc124098032"/>
      <w:bookmarkStart w:id="6" w:name="_Toc11826"/>
      <w:bookmarkStart w:id="7" w:name="_Toc15681"/>
      <w:r>
        <w:rPr>
          <w:rFonts w:eastAsia="仿宋_GB2312"/>
          <w:b/>
          <w:bCs/>
          <w:kern w:val="44"/>
          <w:sz w:val="32"/>
          <w:szCs w:val="44"/>
        </w:rPr>
        <w:t xml:space="preserve">第一章 </w:t>
      </w:r>
      <w:bookmarkEnd w:id="5"/>
      <w:r>
        <w:rPr>
          <w:rFonts w:eastAsia="仿宋_GB2312"/>
          <w:b/>
          <w:bCs/>
          <w:kern w:val="44"/>
          <w:sz w:val="32"/>
          <w:szCs w:val="44"/>
        </w:rPr>
        <w:t>区域概况</w:t>
      </w:r>
      <w:bookmarkEnd w:id="6"/>
      <w:bookmarkEnd w:id="7"/>
    </w:p>
    <w:p w14:paraId="1B885CC8">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8" w:name="_Toc124098033"/>
      <w:bookmarkStart w:id="9" w:name="_Toc32611"/>
      <w:bookmarkStart w:id="10" w:name="_Toc23237"/>
      <w:r>
        <w:rPr>
          <w:rFonts w:eastAsia="仿宋_GB2312"/>
          <w:b/>
          <w:bCs/>
          <w:kern w:val="2"/>
          <w:sz w:val="28"/>
          <w:szCs w:val="28"/>
        </w:rPr>
        <w:t xml:space="preserve">1.1 </w:t>
      </w:r>
      <w:bookmarkEnd w:id="8"/>
      <w:r>
        <w:rPr>
          <w:rFonts w:eastAsia="仿宋_GB2312"/>
          <w:b/>
          <w:bCs/>
          <w:kern w:val="2"/>
          <w:sz w:val="28"/>
          <w:szCs w:val="28"/>
        </w:rPr>
        <w:t>自然地理环境</w:t>
      </w:r>
      <w:bookmarkEnd w:id="9"/>
      <w:bookmarkEnd w:id="10"/>
    </w:p>
    <w:p w14:paraId="29AF1FDE">
      <w:pPr>
        <w:overflowPunct w:val="0"/>
        <w:spacing w:line="360" w:lineRule="auto"/>
        <w:ind w:firstLine="560" w:firstLineChars="200"/>
        <w:outlineLvl w:val="2"/>
        <w:rPr>
          <w:rFonts w:eastAsia="仿宋_GB2312"/>
          <w:sz w:val="28"/>
          <w:szCs w:val="28"/>
        </w:rPr>
      </w:pPr>
      <w:r>
        <w:rPr>
          <w:rFonts w:eastAsia="仿宋_GB2312"/>
          <w:sz w:val="28"/>
          <w:szCs w:val="28"/>
        </w:rPr>
        <w:t>1.1.1 地理位置</w:t>
      </w:r>
    </w:p>
    <w:p w14:paraId="41F3C040">
      <w:pPr>
        <w:pStyle w:val="22"/>
        <w:spacing w:line="360" w:lineRule="auto"/>
        <w:ind w:firstLine="560"/>
        <w:jc w:val="both"/>
        <w:rPr>
          <w:rFonts w:eastAsia="仿宋_GB2312"/>
          <w:color w:val="FF0000"/>
          <w:sz w:val="28"/>
          <w:szCs w:val="28"/>
        </w:rPr>
      </w:pPr>
      <w:r>
        <w:rPr>
          <w:rFonts w:eastAsia="仿宋_GB2312"/>
          <w:sz w:val="28"/>
          <w:szCs w:val="28"/>
        </w:rPr>
        <w:t>靖江市位于泰州市东南部，地处江苏省苏北平原南端，介于北纬31°56′-32°08′，东经120°01′-120°33′之间，东南西三面环江，南濒长江与张家港、江阴、常州隔江相望，东与如皋相邻，西北与泰兴接壤。全市总面积655.59平方公里，拥有长江岸线52.3公里。靖江是中国东部水陆交通要冲，处于长江下游段与河口段的交汇地带、苏锡常通、宁镇扬、盐通泰扬三个经济区的交界处和苏南、苏北交通咽喉位置。</w:t>
      </w:r>
    </w:p>
    <w:p w14:paraId="33D9B8E0">
      <w:pPr>
        <w:overflowPunct w:val="0"/>
        <w:spacing w:line="360" w:lineRule="auto"/>
        <w:ind w:firstLine="560" w:firstLineChars="200"/>
        <w:outlineLvl w:val="2"/>
        <w:rPr>
          <w:rFonts w:eastAsia="仿宋_GB2312"/>
          <w:sz w:val="28"/>
          <w:szCs w:val="28"/>
        </w:rPr>
      </w:pPr>
      <w:r>
        <w:rPr>
          <w:rFonts w:eastAsia="仿宋_GB2312"/>
          <w:sz w:val="28"/>
          <w:szCs w:val="28"/>
        </w:rPr>
        <w:t>1.1.2 自然环境</w:t>
      </w:r>
    </w:p>
    <w:p w14:paraId="2973908E">
      <w:pPr>
        <w:pStyle w:val="22"/>
        <w:spacing w:line="360" w:lineRule="auto"/>
        <w:ind w:firstLine="560"/>
        <w:jc w:val="both"/>
        <w:rPr>
          <w:rFonts w:eastAsia="仿宋_GB2312"/>
          <w:sz w:val="28"/>
          <w:szCs w:val="28"/>
        </w:rPr>
      </w:pPr>
      <w:r>
        <w:rPr>
          <w:rFonts w:eastAsia="仿宋_GB2312"/>
          <w:sz w:val="28"/>
          <w:szCs w:val="28"/>
        </w:rPr>
        <w:t>（1）地形地貌</w:t>
      </w:r>
    </w:p>
    <w:p w14:paraId="6AFA2BF6">
      <w:pPr>
        <w:pStyle w:val="22"/>
        <w:spacing w:line="360" w:lineRule="auto"/>
        <w:ind w:firstLine="560"/>
        <w:jc w:val="both"/>
        <w:rPr>
          <w:rFonts w:eastAsia="仿宋_GB2312"/>
          <w:sz w:val="28"/>
          <w:szCs w:val="28"/>
        </w:rPr>
      </w:pPr>
      <w:r>
        <w:rPr>
          <w:rFonts w:eastAsia="仿宋_GB2312"/>
          <w:sz w:val="28"/>
          <w:szCs w:val="28"/>
        </w:rPr>
        <w:t>全境系长江下游冲积平原，地势平坦，以横港为界，南低北高，高程多在黄海高程2.5-4.5米。惟有一独立丘陵孤山耸立于市中部，海拔55.6米，是浙江天目山向东北延伸的余脉之一。</w:t>
      </w:r>
    </w:p>
    <w:p w14:paraId="2C71B75B">
      <w:pPr>
        <w:pStyle w:val="22"/>
        <w:spacing w:line="360" w:lineRule="auto"/>
        <w:ind w:firstLine="560"/>
        <w:jc w:val="both"/>
        <w:rPr>
          <w:rFonts w:eastAsia="仿宋_GB2312"/>
          <w:sz w:val="28"/>
          <w:szCs w:val="28"/>
        </w:rPr>
      </w:pPr>
      <w:r>
        <w:rPr>
          <w:rFonts w:eastAsia="仿宋_GB2312"/>
          <w:sz w:val="28"/>
          <w:szCs w:val="28"/>
        </w:rPr>
        <w:t>（2）气候</w:t>
      </w:r>
    </w:p>
    <w:p w14:paraId="6D28FCAD">
      <w:pPr>
        <w:pStyle w:val="22"/>
        <w:spacing w:line="360" w:lineRule="auto"/>
        <w:ind w:firstLine="560"/>
        <w:jc w:val="both"/>
        <w:rPr>
          <w:rFonts w:eastAsia="仿宋_GB2312"/>
          <w:sz w:val="28"/>
          <w:szCs w:val="28"/>
        </w:rPr>
      </w:pPr>
      <w:r>
        <w:rPr>
          <w:rFonts w:eastAsia="仿宋_GB2312"/>
          <w:sz w:val="28"/>
          <w:szCs w:val="28"/>
        </w:rPr>
        <w:t>靖江市位于北温带南缘，属北亚热带季风过渡性气候。境内气候温和，光照充足，雨量充沛，无霜期长，四季分明，年均气温14.4摄氏度左右，年平均日照时数为2168.3小时，全年无霜期在209天左右，多年平均降雨量为917.8毫米，多年平均蒸发量为1622.1毫米。</w:t>
      </w:r>
    </w:p>
    <w:p w14:paraId="4BF145B8">
      <w:pPr>
        <w:pStyle w:val="22"/>
        <w:spacing w:line="360" w:lineRule="auto"/>
        <w:ind w:firstLine="560"/>
        <w:jc w:val="both"/>
        <w:rPr>
          <w:rFonts w:eastAsia="仿宋_GB2312"/>
          <w:sz w:val="28"/>
          <w:szCs w:val="28"/>
        </w:rPr>
      </w:pPr>
      <w:r>
        <w:rPr>
          <w:rFonts w:eastAsia="仿宋_GB2312"/>
          <w:sz w:val="28"/>
          <w:szCs w:val="28"/>
        </w:rPr>
        <w:t>（3）水系</w:t>
      </w:r>
    </w:p>
    <w:p w14:paraId="3C449E8C">
      <w:pPr>
        <w:pStyle w:val="22"/>
        <w:spacing w:line="360" w:lineRule="auto"/>
        <w:ind w:firstLine="560"/>
        <w:jc w:val="both"/>
        <w:rPr>
          <w:rFonts w:eastAsia="仿宋_GB2312"/>
          <w:sz w:val="28"/>
          <w:szCs w:val="28"/>
        </w:rPr>
      </w:pPr>
      <w:r>
        <w:rPr>
          <w:rFonts w:eastAsia="仿宋_GB2312"/>
          <w:sz w:val="28"/>
          <w:szCs w:val="28"/>
        </w:rPr>
        <w:t>靖江市南有长江，北有界河，三面邻江。水系发达，河网密布。境内有纵贯南北的大小港84条，平均每隔800-1000米即有港道一条，腹部有横河、团河横贯东西。</w:t>
      </w:r>
    </w:p>
    <w:p w14:paraId="07C31A22">
      <w:pPr>
        <w:pStyle w:val="22"/>
        <w:spacing w:line="360" w:lineRule="auto"/>
        <w:ind w:firstLine="560"/>
        <w:jc w:val="both"/>
        <w:rPr>
          <w:rFonts w:eastAsia="仿宋_GB2312"/>
          <w:sz w:val="28"/>
          <w:szCs w:val="28"/>
        </w:rPr>
      </w:pPr>
      <w:r>
        <w:rPr>
          <w:rFonts w:eastAsia="仿宋_GB2312"/>
          <w:sz w:val="28"/>
          <w:szCs w:val="28"/>
        </w:rPr>
        <w:t>（4）土壤类型</w:t>
      </w:r>
    </w:p>
    <w:p w14:paraId="5203FE52">
      <w:pPr>
        <w:pStyle w:val="22"/>
        <w:spacing w:line="360" w:lineRule="auto"/>
        <w:ind w:firstLine="560"/>
        <w:jc w:val="both"/>
        <w:rPr>
          <w:rFonts w:eastAsia="仿宋_GB2312"/>
          <w:sz w:val="28"/>
          <w:szCs w:val="28"/>
        </w:rPr>
      </w:pPr>
      <w:r>
        <w:rPr>
          <w:rFonts w:eastAsia="仿宋_GB2312"/>
          <w:sz w:val="28"/>
          <w:szCs w:val="28"/>
        </w:rPr>
        <w:t>靖江市土壤肥沃，类型多样。按地理位置和土壤质地分为沿江圩田区、老岸沙壤土和孤北洼地三个区域，分别占总面积的44.10%、44.08%和11.82%。由于靖江市起源于长江中的一个沙洲，沉积环境较为一致，地层分布有一定的规律，基本分为灰褐色淤泥质亚粘土层、灰色淤泥质轻亚粘土层、灰褐色亚粘土与细砂互层和青灰色中密级细砂、粉砂层四个土层。</w:t>
      </w:r>
    </w:p>
    <w:p w14:paraId="2080F6C4">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11" w:name="_Toc124098034"/>
      <w:bookmarkStart w:id="12" w:name="_Toc21882"/>
      <w:bookmarkStart w:id="13" w:name="_Toc18368"/>
      <w:r>
        <w:rPr>
          <w:rFonts w:eastAsia="仿宋_GB2312"/>
          <w:b/>
          <w:bCs/>
          <w:kern w:val="2"/>
          <w:sz w:val="28"/>
          <w:szCs w:val="28"/>
        </w:rPr>
        <w:t xml:space="preserve">1.2 </w:t>
      </w:r>
      <w:bookmarkEnd w:id="11"/>
      <w:r>
        <w:rPr>
          <w:rFonts w:eastAsia="仿宋_GB2312"/>
          <w:b/>
          <w:bCs/>
          <w:kern w:val="2"/>
          <w:sz w:val="28"/>
          <w:szCs w:val="28"/>
        </w:rPr>
        <w:t>社会经济发展概况</w:t>
      </w:r>
      <w:bookmarkEnd w:id="12"/>
      <w:bookmarkEnd w:id="13"/>
    </w:p>
    <w:p w14:paraId="54BEB675">
      <w:pPr>
        <w:overflowPunct w:val="0"/>
        <w:spacing w:line="360" w:lineRule="auto"/>
        <w:ind w:firstLine="560" w:firstLineChars="200"/>
        <w:outlineLvl w:val="2"/>
        <w:rPr>
          <w:rFonts w:eastAsia="仿宋_GB2312"/>
          <w:sz w:val="28"/>
          <w:szCs w:val="28"/>
        </w:rPr>
      </w:pPr>
      <w:r>
        <w:rPr>
          <w:rFonts w:eastAsia="仿宋_GB2312"/>
          <w:sz w:val="28"/>
          <w:szCs w:val="28"/>
        </w:rPr>
        <w:t>1.2.1 行政区域和人口规模</w:t>
      </w:r>
    </w:p>
    <w:p w14:paraId="01D8E206">
      <w:pPr>
        <w:pStyle w:val="22"/>
        <w:spacing w:line="360" w:lineRule="auto"/>
        <w:ind w:firstLine="560"/>
        <w:jc w:val="both"/>
        <w:rPr>
          <w:rFonts w:eastAsia="仿宋_GB2312"/>
          <w:sz w:val="28"/>
          <w:szCs w:val="28"/>
        </w:rPr>
      </w:pPr>
      <w:r>
        <w:rPr>
          <w:rFonts w:eastAsia="仿宋_GB2312"/>
          <w:sz w:val="28"/>
          <w:szCs w:val="28"/>
        </w:rPr>
        <w:t>靖江市，由泰州市代管，位于泰州市东南部，是江苏省新兴的港口工业城市。全市辖1个国家级经济技术开发区（靖江经济技术开发区）、1个省级开发区（江阴—靖江工业园区）和8个镇、1个街道、3个办事处。截至2023年末，靖江市常住人口66.23万人，其中城镇常住人口46.74万人，城镇人口比重70.57%。</w:t>
      </w:r>
    </w:p>
    <w:p w14:paraId="79194D96">
      <w:pPr>
        <w:overflowPunct w:val="0"/>
        <w:spacing w:line="360" w:lineRule="auto"/>
        <w:ind w:firstLine="560" w:firstLineChars="200"/>
        <w:outlineLvl w:val="2"/>
        <w:rPr>
          <w:rFonts w:eastAsia="仿宋_GB2312"/>
          <w:sz w:val="28"/>
          <w:szCs w:val="28"/>
        </w:rPr>
      </w:pPr>
      <w:r>
        <w:rPr>
          <w:rFonts w:eastAsia="仿宋_GB2312"/>
          <w:sz w:val="28"/>
          <w:szCs w:val="28"/>
        </w:rPr>
        <w:t>1.2.2 经济发展</w:t>
      </w:r>
    </w:p>
    <w:p w14:paraId="78987E4B">
      <w:pPr>
        <w:pStyle w:val="22"/>
        <w:spacing w:line="360" w:lineRule="auto"/>
        <w:ind w:firstLine="560"/>
        <w:jc w:val="both"/>
        <w:rPr>
          <w:rFonts w:eastAsia="仿宋_GB2312"/>
          <w:sz w:val="28"/>
          <w:szCs w:val="28"/>
        </w:rPr>
      </w:pPr>
      <w:r>
        <w:rPr>
          <w:rFonts w:eastAsia="仿宋_GB2312"/>
          <w:sz w:val="28"/>
          <w:szCs w:val="28"/>
        </w:rPr>
        <w:t>2023年，靖江市实现地区生产总值1298.79亿元。其中，第一产业增加值27.77亿元；第二产业增加值713.57亿元；第三产业增加值557.45亿元。全年三次产业结构比例为2.1:55.0:42.9。人均GDP为196192元。</w:t>
      </w:r>
    </w:p>
    <w:bookmarkEnd w:id="1"/>
    <w:bookmarkEnd w:id="2"/>
    <w:p w14:paraId="7AC6C4DC">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14" w:name="_Toc22507"/>
      <w:bookmarkStart w:id="15" w:name="_Toc5733"/>
      <w:bookmarkStart w:id="16" w:name="_Toc124098008"/>
      <w:r>
        <w:rPr>
          <w:rFonts w:eastAsia="仿宋_GB2312"/>
          <w:b/>
          <w:bCs/>
          <w:kern w:val="2"/>
          <w:sz w:val="28"/>
          <w:szCs w:val="28"/>
        </w:rPr>
        <w:t>1.3 自然资源条件与开发利用现状</w:t>
      </w:r>
      <w:bookmarkEnd w:id="14"/>
      <w:bookmarkEnd w:id="15"/>
    </w:p>
    <w:p w14:paraId="318196D1">
      <w:pPr>
        <w:overflowPunct w:val="0"/>
        <w:spacing w:line="360" w:lineRule="auto"/>
        <w:ind w:firstLine="560" w:firstLineChars="200"/>
        <w:outlineLvl w:val="2"/>
        <w:rPr>
          <w:rFonts w:eastAsia="仿宋_GB2312"/>
          <w:sz w:val="28"/>
          <w:szCs w:val="28"/>
        </w:rPr>
      </w:pPr>
      <w:r>
        <w:rPr>
          <w:rFonts w:eastAsia="仿宋_GB2312"/>
          <w:sz w:val="28"/>
          <w:szCs w:val="28"/>
        </w:rPr>
        <w:t>1.3.1 土地资源</w:t>
      </w:r>
    </w:p>
    <w:p w14:paraId="376312B2">
      <w:pPr>
        <w:pStyle w:val="22"/>
        <w:spacing w:line="360" w:lineRule="auto"/>
        <w:ind w:firstLine="560"/>
        <w:jc w:val="both"/>
        <w:rPr>
          <w:rFonts w:eastAsia="仿宋_GB2312"/>
          <w:sz w:val="28"/>
          <w:szCs w:val="28"/>
        </w:rPr>
      </w:pPr>
      <w:r>
        <w:rPr>
          <w:rFonts w:eastAsia="仿宋_GB2312"/>
          <w:sz w:val="28"/>
          <w:szCs w:val="28"/>
        </w:rPr>
        <w:t>全市国土面积共655.59平方公里，农用地占比最大，面积为327.55平方公里，占全市国土面积的49.96%。建设用地面积为200.45平方公里，占全市国土面积的30.58%。未利用地127.59平方公里，占全市国土面积的19.46%。</w:t>
      </w:r>
    </w:p>
    <w:p w14:paraId="5337C082">
      <w:pPr>
        <w:overflowPunct w:val="0"/>
        <w:spacing w:line="360" w:lineRule="auto"/>
        <w:ind w:firstLine="560" w:firstLineChars="200"/>
        <w:outlineLvl w:val="2"/>
        <w:rPr>
          <w:rFonts w:eastAsia="仿宋_GB2312"/>
          <w:sz w:val="28"/>
          <w:szCs w:val="28"/>
        </w:rPr>
      </w:pPr>
      <w:r>
        <w:rPr>
          <w:rFonts w:eastAsia="仿宋_GB2312"/>
          <w:sz w:val="28"/>
          <w:szCs w:val="28"/>
        </w:rPr>
        <w:t>1.3.2 耕地资源</w:t>
      </w:r>
    </w:p>
    <w:p w14:paraId="682CCCA8">
      <w:pPr>
        <w:pStyle w:val="22"/>
        <w:spacing w:line="360" w:lineRule="auto"/>
        <w:ind w:firstLine="560"/>
        <w:jc w:val="both"/>
        <w:rPr>
          <w:rFonts w:eastAsia="仿宋_GB2312"/>
          <w:sz w:val="28"/>
          <w:szCs w:val="28"/>
        </w:rPr>
      </w:pPr>
      <w:r>
        <w:rPr>
          <w:rFonts w:eastAsia="仿宋_GB2312"/>
          <w:sz w:val="28"/>
          <w:szCs w:val="28"/>
        </w:rPr>
        <w:t>全市耕地面积233.82平方公里，占国土总面积的35.67%，以水田为主，占耕地总面积的82.04%；其次为水浇地，占比为16.9%；旱地较少。区域土壤肥沃、水热条件充足、综合治理水平较高，耕地质量整体较好。</w:t>
      </w:r>
    </w:p>
    <w:p w14:paraId="790E5127">
      <w:pPr>
        <w:overflowPunct w:val="0"/>
        <w:spacing w:line="360" w:lineRule="auto"/>
        <w:ind w:firstLine="560" w:firstLineChars="200"/>
        <w:outlineLvl w:val="2"/>
        <w:rPr>
          <w:rFonts w:eastAsia="仿宋_GB2312"/>
          <w:sz w:val="28"/>
          <w:szCs w:val="28"/>
        </w:rPr>
      </w:pPr>
      <w:r>
        <w:rPr>
          <w:rFonts w:eastAsia="仿宋_GB2312"/>
          <w:sz w:val="28"/>
          <w:szCs w:val="28"/>
        </w:rPr>
        <w:t>1.3.3 林业资源</w:t>
      </w:r>
    </w:p>
    <w:p w14:paraId="347F6971">
      <w:pPr>
        <w:pStyle w:val="22"/>
        <w:spacing w:line="360" w:lineRule="auto"/>
        <w:ind w:firstLine="560"/>
        <w:jc w:val="both"/>
        <w:rPr>
          <w:rFonts w:eastAsia="仿宋_GB2312"/>
          <w:sz w:val="28"/>
          <w:szCs w:val="28"/>
        </w:rPr>
      </w:pPr>
      <w:r>
        <w:rPr>
          <w:rFonts w:eastAsia="仿宋_GB2312"/>
          <w:sz w:val="28"/>
          <w:szCs w:val="28"/>
        </w:rPr>
        <w:t>全市林地总面积33.95平方公里，占全市面积的5.18%，其中乔木林地面积2.46平方公里，竹林地面积0.90平方公里，灌木林地面积0.10平方公里，其他林地面积30.50平方公里，分别占林地面积比例为7.25%、2.65%、0.29%和89.84%。全市林地分布较分散，原以家前屋后树木为主，近几年加大造林力度，充分挖潜，在二级、三级河道旁、江堤堤脚、江心洲、绿色通道、低产地块等适林地栽植树木，形成较为完善的森林生态网络体系。</w:t>
      </w:r>
    </w:p>
    <w:p w14:paraId="69FD7CC1">
      <w:pPr>
        <w:overflowPunct w:val="0"/>
        <w:spacing w:line="360" w:lineRule="auto"/>
        <w:ind w:firstLine="560" w:firstLineChars="200"/>
        <w:outlineLvl w:val="2"/>
        <w:rPr>
          <w:rFonts w:eastAsia="仿宋_GB2312"/>
          <w:sz w:val="28"/>
          <w:szCs w:val="28"/>
        </w:rPr>
      </w:pPr>
      <w:r>
        <w:rPr>
          <w:rFonts w:eastAsia="仿宋_GB2312"/>
          <w:sz w:val="28"/>
          <w:szCs w:val="28"/>
        </w:rPr>
        <w:t>1.3.4 湿地资源</w:t>
      </w:r>
    </w:p>
    <w:p w14:paraId="7F8AC199">
      <w:pPr>
        <w:pStyle w:val="22"/>
        <w:spacing w:line="360" w:lineRule="auto"/>
        <w:ind w:firstLine="560"/>
        <w:jc w:val="both"/>
        <w:rPr>
          <w:rFonts w:eastAsia="仿宋_GB2312"/>
          <w:sz w:val="28"/>
          <w:szCs w:val="28"/>
        </w:rPr>
      </w:pPr>
      <w:r>
        <w:rPr>
          <w:rFonts w:eastAsia="仿宋_GB2312"/>
          <w:sz w:val="28"/>
          <w:szCs w:val="28"/>
        </w:rPr>
        <w:t>全市湿地资源丰富，分布较广。全市湿地面积135.17平方公里，占全市总面积的15.60%，其中，自然湿地117.51平方公里，人工湿地17.66平方公里。</w:t>
      </w:r>
    </w:p>
    <w:p w14:paraId="1938AD90">
      <w:pPr>
        <w:overflowPunct w:val="0"/>
        <w:spacing w:line="360" w:lineRule="auto"/>
        <w:ind w:firstLine="560" w:firstLineChars="200"/>
        <w:outlineLvl w:val="2"/>
        <w:rPr>
          <w:rFonts w:eastAsia="仿宋_GB2312"/>
          <w:sz w:val="28"/>
          <w:szCs w:val="28"/>
        </w:rPr>
      </w:pPr>
      <w:r>
        <w:rPr>
          <w:rFonts w:eastAsia="仿宋_GB2312"/>
          <w:sz w:val="28"/>
          <w:szCs w:val="28"/>
        </w:rPr>
        <w:t>1.3.5 生态空间资源</w:t>
      </w:r>
    </w:p>
    <w:p w14:paraId="74D2B2DB">
      <w:pPr>
        <w:pStyle w:val="22"/>
        <w:spacing w:line="360" w:lineRule="auto"/>
        <w:ind w:firstLine="560"/>
        <w:jc w:val="both"/>
        <w:rPr>
          <w:rFonts w:eastAsia="仿宋_GB2312"/>
          <w:sz w:val="28"/>
          <w:szCs w:val="28"/>
        </w:rPr>
      </w:pPr>
      <w:r>
        <w:rPr>
          <w:rFonts w:eastAsia="仿宋_GB2312"/>
          <w:sz w:val="28"/>
          <w:szCs w:val="28"/>
        </w:rPr>
        <w:t>全市生态空间范围广，湿地、河流等生态资源丰富，有多处生态空间保护区域。生态保护红线面积14.36平方公里，占国土总面积的2.19%，主要分布在长江流域，包括靖江市明湖应急水源地水源保护区、长江靖江段中华绒螯蟹鳜鱼国家级水产种质资源保护区（不包括生态空间管控区域部分）和长江蟛蜞港饮用水水源保护区。生态空间管控区域面积135.07平方公里，包括长江靖江段中华绒螯蟹鳜鱼国家级水产种质资源保护区（不包括国家级生态保护红线部分）、滨江风景名胜区、江心洲重要湿地、夏仕港清水通道维护区、孤山风景名胜区、靖江香沙芋种质资源保护区和长江（靖江市）重要湿地。</w:t>
      </w:r>
    </w:p>
    <w:p w14:paraId="661FEBEA">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17" w:name="_Toc27396"/>
      <w:bookmarkStart w:id="18" w:name="_Toc27010"/>
      <w:r>
        <w:rPr>
          <w:rFonts w:eastAsia="仿宋_GB2312"/>
          <w:b/>
          <w:bCs/>
          <w:kern w:val="2"/>
          <w:sz w:val="28"/>
          <w:szCs w:val="28"/>
        </w:rPr>
        <w:t>1.4 生态环境质量现状</w:t>
      </w:r>
      <w:bookmarkEnd w:id="17"/>
      <w:bookmarkEnd w:id="18"/>
    </w:p>
    <w:p w14:paraId="7F764E44">
      <w:pPr>
        <w:pStyle w:val="22"/>
        <w:spacing w:line="360" w:lineRule="auto"/>
        <w:ind w:firstLine="560"/>
        <w:jc w:val="both"/>
        <w:rPr>
          <w:rFonts w:eastAsia="仿宋_GB2312"/>
          <w:sz w:val="28"/>
          <w:szCs w:val="28"/>
        </w:rPr>
        <w:sectPr>
          <w:pgSz w:w="11906" w:h="16838"/>
          <w:pgMar w:top="1440" w:right="1800" w:bottom="1440" w:left="1800" w:header="851" w:footer="992" w:gutter="0"/>
          <w:cols w:space="425" w:num="1"/>
          <w:docGrid w:type="lines" w:linePitch="312" w:charSpace="0"/>
        </w:sectPr>
      </w:pPr>
      <w:r>
        <w:rPr>
          <w:rFonts w:eastAsia="仿宋_GB2312"/>
          <w:sz w:val="28"/>
          <w:szCs w:val="28"/>
        </w:rPr>
        <w:t>全市生态环境质量稳中向好。2023年，空气优良天数比率为78.6%。PM</w:t>
      </w:r>
      <w:r>
        <w:rPr>
          <w:rFonts w:eastAsia="仿宋_GB2312"/>
          <w:sz w:val="28"/>
          <w:szCs w:val="28"/>
          <w:vertAlign w:val="subscript"/>
        </w:rPr>
        <w:t>2.5</w:t>
      </w:r>
      <w:r>
        <w:rPr>
          <w:rFonts w:eastAsia="仿宋_GB2312"/>
          <w:sz w:val="28"/>
          <w:szCs w:val="28"/>
        </w:rPr>
        <w:t>平均浓度34微克/立方米，达到国家环境空气质量二级标准。城市集中式饮用水源地水质达到国家地表水Ⅱ类水质标准，国考断面和省考断面优Ⅲ比例继续保持100%，入江支流水质优Ⅲ比例为100%。土壤环境质量状况良好，3个土壤监测点8项无机指标、有机氯农药和苯并芘浓度均符合《土壤环境质量 农用地土壤污染风险管控标准（试行）》（GB 15618-2018）标准限值要求。农村环境空气质量良好，农村饮用水水质良好。近三年农村环境质量综合状况基本稳定，生态环境良好，基本适合农村居民生活和生产。</w:t>
      </w:r>
    </w:p>
    <w:p w14:paraId="3A09D511">
      <w:pPr>
        <w:keepNext/>
        <w:keepLines/>
        <w:widowControl w:val="0"/>
        <w:spacing w:before="100" w:beforeAutospacing="1" w:after="100" w:afterAutospacing="1" w:line="590" w:lineRule="exact"/>
        <w:jc w:val="center"/>
        <w:outlineLvl w:val="0"/>
        <w:rPr>
          <w:rFonts w:eastAsia="仿宋_GB2312"/>
          <w:b/>
          <w:bCs/>
          <w:kern w:val="44"/>
          <w:sz w:val="32"/>
          <w:szCs w:val="44"/>
        </w:rPr>
      </w:pPr>
      <w:bookmarkStart w:id="19" w:name="_Toc19489"/>
      <w:bookmarkStart w:id="20" w:name="_Toc20549"/>
      <w:r>
        <w:rPr>
          <w:rFonts w:eastAsia="仿宋_GB2312"/>
          <w:b/>
          <w:bCs/>
          <w:kern w:val="44"/>
          <w:sz w:val="32"/>
          <w:szCs w:val="44"/>
        </w:rPr>
        <w:t>第二章 生物多样性基本情况</w:t>
      </w:r>
      <w:bookmarkEnd w:id="19"/>
      <w:bookmarkEnd w:id="20"/>
    </w:p>
    <w:p w14:paraId="30539D48">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21" w:name="_Toc27134"/>
      <w:bookmarkStart w:id="22" w:name="_Toc22173"/>
      <w:r>
        <w:rPr>
          <w:rFonts w:eastAsia="仿宋_GB2312"/>
          <w:b/>
          <w:bCs/>
          <w:kern w:val="2"/>
          <w:sz w:val="28"/>
          <w:szCs w:val="28"/>
        </w:rPr>
        <w:t>4.1 生物多样性状况</w:t>
      </w:r>
      <w:bookmarkEnd w:id="21"/>
      <w:bookmarkEnd w:id="22"/>
    </w:p>
    <w:p w14:paraId="0A7260F1">
      <w:pPr>
        <w:overflowPunct w:val="0"/>
        <w:spacing w:line="360" w:lineRule="auto"/>
        <w:ind w:firstLine="560" w:firstLineChars="200"/>
        <w:outlineLvl w:val="2"/>
        <w:rPr>
          <w:rFonts w:eastAsia="仿宋_GB2312"/>
          <w:sz w:val="28"/>
          <w:szCs w:val="28"/>
        </w:rPr>
      </w:pPr>
      <w:r>
        <w:rPr>
          <w:rFonts w:eastAsia="仿宋_GB2312"/>
          <w:sz w:val="28"/>
          <w:szCs w:val="28"/>
        </w:rPr>
        <w:t>4.1.1 生态系统多样性</w:t>
      </w:r>
    </w:p>
    <w:p w14:paraId="42BD2046">
      <w:pPr>
        <w:spacing w:line="360" w:lineRule="auto"/>
        <w:ind w:firstLine="560" w:firstLineChars="200"/>
        <w:jc w:val="both"/>
        <w:rPr>
          <w:rFonts w:eastAsia="仿宋_GB2312"/>
          <w:sz w:val="28"/>
          <w:szCs w:val="28"/>
        </w:rPr>
      </w:pPr>
      <w:r>
        <w:rPr>
          <w:rFonts w:eastAsia="仿宋_GB2312"/>
          <w:sz w:val="28"/>
          <w:szCs w:val="28"/>
        </w:rPr>
        <w:t>靖江市总面积655.59平方公里，主要为农田生态系统、城镇生态系统和湿地生态系统，面积分别为233.82平方公里、200.45平方公里、135.17平方公里，面积占比分别为35.67%、30.58%、15.60%。</w:t>
      </w:r>
      <w:r>
        <w:rPr>
          <w:rFonts w:hint="eastAsia" w:eastAsia="仿宋_GB2312"/>
          <w:sz w:val="28"/>
          <w:szCs w:val="28"/>
        </w:rPr>
        <w:t>森林生态系统</w:t>
      </w:r>
      <w:r>
        <w:rPr>
          <w:rFonts w:eastAsia="仿宋_GB2312"/>
          <w:sz w:val="28"/>
          <w:szCs w:val="28"/>
        </w:rPr>
        <w:t>面积33.95平方公里，主要分布于孤山、城市公园、马洲岛及农村地区，灌丛和草地主要零散分布于田间地头和道路两侧。</w:t>
      </w:r>
    </w:p>
    <w:p w14:paraId="46B3C62A">
      <w:pPr>
        <w:overflowPunct w:val="0"/>
        <w:spacing w:line="360" w:lineRule="auto"/>
        <w:ind w:firstLine="560" w:firstLineChars="200"/>
        <w:outlineLvl w:val="2"/>
        <w:rPr>
          <w:rFonts w:eastAsia="仿宋_GB2312"/>
          <w:sz w:val="28"/>
          <w:szCs w:val="28"/>
        </w:rPr>
      </w:pPr>
      <w:r>
        <w:rPr>
          <w:rFonts w:eastAsia="仿宋_GB2312"/>
          <w:sz w:val="28"/>
          <w:szCs w:val="28"/>
        </w:rPr>
        <w:t>4.1.2 物种多样性</w:t>
      </w:r>
    </w:p>
    <w:p w14:paraId="17AE1168">
      <w:pPr>
        <w:spacing w:line="360" w:lineRule="auto"/>
        <w:ind w:firstLine="560" w:firstLineChars="200"/>
        <w:jc w:val="both"/>
        <w:rPr>
          <w:rFonts w:eastAsia="仿宋_GB2312"/>
          <w:sz w:val="28"/>
          <w:szCs w:val="28"/>
        </w:rPr>
      </w:pPr>
      <w:r>
        <w:rPr>
          <w:rFonts w:eastAsia="仿宋_GB2312"/>
          <w:sz w:val="28"/>
          <w:szCs w:val="28"/>
        </w:rPr>
        <w:t>根据靖江市生物多样性本底调查结果，全市共计发现陆生维管植物118科345属559种（包含变种、亚种以及变型）。优势科主要有菊科、禾本科、豆科、蔷薇科、蓼科以及唇形科等。国家一级重点保护植物3种，分别为水杉（栽培）、银杏（栽培）和苏铁（栽培），国家二级重点保护植物8种，分别为莲（栽培）、野大豆（野生）、大叶榉树（栽培）、金荞麦（栽培）、中华猕猴桃（栽培）、榧树（栽培）、鹅掌楸（栽培）和罗汉松（栽培）。</w:t>
      </w:r>
    </w:p>
    <w:p w14:paraId="1210291D">
      <w:pPr>
        <w:spacing w:line="360" w:lineRule="auto"/>
        <w:ind w:firstLine="560" w:firstLineChars="200"/>
        <w:jc w:val="both"/>
        <w:rPr>
          <w:rFonts w:eastAsia="仿宋_GB2312"/>
          <w:sz w:val="28"/>
          <w:szCs w:val="28"/>
        </w:rPr>
      </w:pPr>
      <w:r>
        <w:rPr>
          <w:rFonts w:eastAsia="仿宋_GB2312"/>
          <w:sz w:val="28"/>
          <w:szCs w:val="28"/>
        </w:rPr>
        <w:t>调查记录两栖和爬行动物10科12属13种，其中被列入濒危（EN）等级的有1种，为王锦蛇；被列入易危（VU）等级的有1种，为乌梢蛇；被列入近危（NT）等级的有2种，为黑斑侧褶蛙和短尾蝮；江苏省重点保护物种7种，包括黑斑侧褶蛙、乌梢蛇等。</w:t>
      </w:r>
    </w:p>
    <w:p w14:paraId="5C5EF7D5">
      <w:pPr>
        <w:spacing w:line="360" w:lineRule="auto"/>
        <w:ind w:firstLine="560" w:firstLineChars="200"/>
        <w:jc w:val="both"/>
        <w:rPr>
          <w:rFonts w:eastAsia="仿宋_GB2312"/>
          <w:sz w:val="28"/>
          <w:szCs w:val="28"/>
        </w:rPr>
      </w:pPr>
      <w:r>
        <w:rPr>
          <w:rFonts w:eastAsia="仿宋_GB2312"/>
          <w:sz w:val="28"/>
          <w:szCs w:val="28"/>
        </w:rPr>
        <w:t>调查记录鸟类17目54科125属227种；其中国家一级重点保护野生鸟类4种，为东方白鹳、白头鹤、黄胸鹀和黑脸琵鹭；国家二级重点保护野生鸟类38种，包括小鸦鹃、画眉、游隼、赤腹鹰和凤头鹰等；被列入濒危（EN）等级的有4种，为东方白鹳、白头鹤、黄胸鹀和黑脸琵鹭；被列入易危（VU）等级的有4种，为鸿雁、大杓鹬、大滨鹬、红腹滨鹬和大鵟；被列入近危（NT）等级的有18种，为鸳鸯、罗纹鸭、白琵鹭、苍鹰、游隼等；江苏省重点保护鸟类92种，为鹌鹑、鸿雁、绿头鸭等。</w:t>
      </w:r>
    </w:p>
    <w:p w14:paraId="3BDC6122">
      <w:pPr>
        <w:spacing w:line="360" w:lineRule="auto"/>
        <w:ind w:firstLine="560" w:firstLineChars="200"/>
        <w:jc w:val="both"/>
        <w:rPr>
          <w:rFonts w:eastAsia="仿宋_GB2312"/>
          <w:sz w:val="28"/>
          <w:szCs w:val="28"/>
        </w:rPr>
      </w:pPr>
      <w:r>
        <w:rPr>
          <w:rFonts w:eastAsia="仿宋_GB2312"/>
          <w:sz w:val="28"/>
          <w:szCs w:val="28"/>
        </w:rPr>
        <w:t>调查记录哺乳动物5目6科8属8种；其中江苏省重点保护野生动物2种，为东北刺猬和黄鼬。基本摸清在靖江段稳定生活着2个长江江豚群体，种群数量约40头左右，其高密度分布区位于牧城公园附近水域，其他地区仅为零星分布，季节性分布差异不明显。</w:t>
      </w:r>
    </w:p>
    <w:p w14:paraId="6DEA7819">
      <w:pPr>
        <w:spacing w:line="360" w:lineRule="auto"/>
        <w:ind w:firstLine="560" w:firstLineChars="200"/>
        <w:jc w:val="both"/>
        <w:rPr>
          <w:rFonts w:eastAsia="仿宋_GB2312"/>
          <w:sz w:val="28"/>
          <w:szCs w:val="28"/>
        </w:rPr>
      </w:pPr>
      <w:r>
        <w:rPr>
          <w:rFonts w:eastAsia="仿宋_GB2312"/>
          <w:sz w:val="28"/>
          <w:szCs w:val="28"/>
        </w:rPr>
        <w:t>调查记录到陆生昆虫12目90科222属257种。目下种级阶元中，鳞翅目种类最为丰富，共有61种；其次是鞘翅目，共有51种；再次是半翅目，共有47种，这三个类群是靖江市昆虫种群结构的优势类群，共占总种数的61.87%。其他种类较多的类群有双翅目（31种）、蜻蜓目（24种）、膜翅目（19种）和直翅目（15种）。调查发现世界自然保护联盟红色名录的近危物种黑狭扇蟌和“三有动物”物种东方蜜蜂。</w:t>
      </w:r>
    </w:p>
    <w:p w14:paraId="13371C03">
      <w:pPr>
        <w:spacing w:line="360" w:lineRule="auto"/>
        <w:ind w:firstLine="560" w:firstLineChars="200"/>
        <w:jc w:val="both"/>
        <w:rPr>
          <w:rFonts w:eastAsia="仿宋_GB2312"/>
          <w:sz w:val="28"/>
          <w:szCs w:val="28"/>
        </w:rPr>
      </w:pPr>
      <w:r>
        <w:rPr>
          <w:rFonts w:eastAsia="仿宋_GB2312"/>
          <w:sz w:val="28"/>
          <w:szCs w:val="28"/>
        </w:rPr>
        <w:t>调查记录到鱼类9目15科36属42种，约占江苏省已记载的鱼类物种数（476种）的8.8%。其中，鲤形目种类最多，达29种，占总种类数的69.05%；其次为鲈形目（5种），占总种类数的11.90%；其余各目种数均较少。发现国家二级重点保护鱼类1种，为胭脂鱼。</w:t>
      </w:r>
    </w:p>
    <w:p w14:paraId="24D97117">
      <w:pPr>
        <w:overflowPunct w:val="0"/>
        <w:spacing w:line="360" w:lineRule="auto"/>
        <w:ind w:firstLine="560" w:firstLineChars="200"/>
        <w:outlineLvl w:val="2"/>
        <w:rPr>
          <w:rFonts w:eastAsia="仿宋_GB2312"/>
          <w:sz w:val="28"/>
          <w:szCs w:val="28"/>
        </w:rPr>
      </w:pPr>
      <w:r>
        <w:rPr>
          <w:rFonts w:eastAsia="仿宋_GB2312"/>
          <w:sz w:val="28"/>
          <w:szCs w:val="28"/>
        </w:rPr>
        <w:t>4.1.3 遗传多样性</w:t>
      </w:r>
    </w:p>
    <w:p w14:paraId="6C0CC28A">
      <w:pPr>
        <w:spacing w:line="360" w:lineRule="auto"/>
        <w:ind w:firstLine="560" w:firstLineChars="200"/>
        <w:jc w:val="both"/>
        <w:rPr>
          <w:rFonts w:eastAsia="仿宋_GB2312"/>
        </w:rPr>
      </w:pPr>
      <w:r>
        <w:rPr>
          <w:rFonts w:eastAsia="仿宋_GB2312"/>
          <w:sz w:val="28"/>
          <w:szCs w:val="28"/>
        </w:rPr>
        <w:t>靖江市地处长江下游，自然条件优越，有“苏中小江南”的美誉。丰富的水资源为发展水产业提供了优越的条件，长江内有刀鱼、鲥鱼、河豚等稀少鱼种，内河有青、草、鲤、鲫、鳊等多种鱼类。稻、麦、油菜、大豆为主要农作物。野生植物、栽培植物种类繁多，粮食、蔬菜、花草、瓜果、药材丰富，另有银杏、杜仲、皂英等珍贵稀有树木。在江苏省第三次农作物种质资源普查与收集行动中，靖江市共收集保存红小豆、黑豇豆、红扁豆、白扁豆、野芋头、香沙芋、长籼糯、米芦稷、甜芦稷、黑长糯、粳红稻、青早籼、硬茎粳等21种农作物种质资源，收集保存金钩树、枣树、白果树、核桃树、老桑树、李树、柿子树等7种果树种质资源。动物资源方面，全市畜禽养殖牛、猪、梅花鹿、鸭等4个物种，均为引进品种。靖江荣获“中国猪肉脯之乡”称号，香沙芋入选全国“土特产”推介名单。为加强对靖江境内生物种质资源和野生动植物资源保护，马洲岛周边水域建有长江靖江段中华绒螯蟹鳜鱼国家级水产种质资源保护区，是目前泰州地区唯一的国家水产种质资源保护区。针对香沙芋等靖江优良地方品种，建立了靖江香沙芋种质资源保护区。</w:t>
      </w:r>
    </w:p>
    <w:p w14:paraId="0C913623">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23" w:name="_Toc17118"/>
      <w:bookmarkStart w:id="24" w:name="_Toc23419"/>
      <w:r>
        <w:rPr>
          <w:rFonts w:eastAsia="仿宋_GB2312"/>
          <w:b/>
          <w:bCs/>
          <w:kern w:val="2"/>
          <w:sz w:val="28"/>
          <w:szCs w:val="28"/>
        </w:rPr>
        <w:t>4.2 生物多样性保护管理状况</w:t>
      </w:r>
      <w:bookmarkEnd w:id="23"/>
      <w:bookmarkEnd w:id="24"/>
    </w:p>
    <w:p w14:paraId="5ED39E01">
      <w:pPr>
        <w:spacing w:line="360" w:lineRule="auto"/>
        <w:ind w:firstLine="560" w:firstLineChars="200"/>
        <w:jc w:val="both"/>
        <w:rPr>
          <w:rFonts w:eastAsia="仿宋_GB2312"/>
          <w:sz w:val="28"/>
          <w:szCs w:val="28"/>
        </w:rPr>
      </w:pPr>
      <w:r>
        <w:rPr>
          <w:rFonts w:eastAsia="仿宋_GB2312"/>
          <w:sz w:val="28"/>
          <w:szCs w:val="28"/>
        </w:rPr>
        <w:t>近年来，靖江市高度重视生物多样性保护工作，深入推进长江大保护，在生物多样性观测站建设、长江水生生物栖息地保护修复、外来物种入侵防治等方面不断探索创新，取得一系列显著成效。</w:t>
      </w:r>
    </w:p>
    <w:p w14:paraId="712D50A9">
      <w:pPr>
        <w:spacing w:line="590" w:lineRule="exact"/>
        <w:ind w:firstLine="560" w:firstLineChars="200"/>
        <w:jc w:val="both"/>
        <w:rPr>
          <w:rFonts w:eastAsia="仿宋_GB2312"/>
          <w:sz w:val="28"/>
          <w:szCs w:val="28"/>
        </w:rPr>
      </w:pPr>
      <w:r>
        <w:rPr>
          <w:rFonts w:eastAsia="仿宋_GB2312"/>
          <w:sz w:val="28"/>
          <w:szCs w:val="28"/>
        </w:rPr>
        <w:t>生物多样性本底调查全面完成。2021年首次开展长江靖江段长江江豚调查。截至2023年，靖江市已完成全域生物多样性本底调查，取得了一批丰富的调查成果，为靖江市生物多样性保护与管理提供了数据和技术支撑。</w:t>
      </w:r>
    </w:p>
    <w:p w14:paraId="4AECBF6F">
      <w:pPr>
        <w:spacing w:line="360" w:lineRule="auto"/>
        <w:ind w:firstLine="560" w:firstLineChars="200"/>
        <w:jc w:val="both"/>
        <w:rPr>
          <w:rFonts w:eastAsia="仿宋_GB2312"/>
          <w:sz w:val="28"/>
          <w:szCs w:val="28"/>
        </w:rPr>
      </w:pPr>
      <w:r>
        <w:rPr>
          <w:rFonts w:eastAsia="仿宋_GB2312"/>
          <w:sz w:val="28"/>
          <w:szCs w:val="28"/>
        </w:rPr>
        <w:t>生物多样性保护观测能力日益完善。在马洲岛建立长江下游首个生物多样性保护科学观测研究站，对长江下游生物多样性、重要湿地、生态环境、珍稀濒危物种开展长期定位综合观测和研究。已形成以马洲岛为核心，辐射长江岸线的“一站六点”生物多样性观测体系。</w:t>
      </w:r>
    </w:p>
    <w:p w14:paraId="6BA0B353">
      <w:pPr>
        <w:spacing w:line="360" w:lineRule="auto"/>
        <w:ind w:firstLine="560" w:firstLineChars="200"/>
        <w:jc w:val="both"/>
        <w:rPr>
          <w:rFonts w:eastAsia="仿宋_GB2312"/>
          <w:sz w:val="28"/>
          <w:szCs w:val="28"/>
        </w:rPr>
      </w:pPr>
      <w:r>
        <w:rPr>
          <w:rFonts w:eastAsia="仿宋_GB2312"/>
          <w:sz w:val="28"/>
          <w:szCs w:val="28"/>
        </w:rPr>
        <w:t>长江水生生物栖息地保护修复顺利推进。靖江市实施渔业资源增殖放流、强化水产种质资源保护区管护措施，开展水生生物监测，加强长江水生生物栖息地保护修复。通过有效的保护修复措施，提升水产种质资源保护区管护水平和长江水生生物栖息地保护能力。</w:t>
      </w:r>
    </w:p>
    <w:p w14:paraId="747B07D0">
      <w:pPr>
        <w:spacing w:line="360" w:lineRule="auto"/>
        <w:ind w:firstLine="560" w:firstLineChars="200"/>
        <w:jc w:val="both"/>
        <w:rPr>
          <w:rFonts w:eastAsia="仿宋_GB2312"/>
          <w:sz w:val="28"/>
          <w:szCs w:val="28"/>
        </w:rPr>
      </w:pPr>
      <w:r>
        <w:rPr>
          <w:rFonts w:eastAsia="仿宋_GB2312"/>
          <w:sz w:val="28"/>
          <w:szCs w:val="28"/>
        </w:rPr>
        <w:t>外来入侵物种防控有序开展。靖江市成立外来入侵物种普查工作领导小组，在全市范围内开展外来入侵物种普查工作。设置重大植物疫情监测点，确保有效及时发现和治理。开展检疫专项检查，有效控制有害生物扩散。开展应急业务培训，强化应急保障。发放宣传资料和组织培训，强化宣传引导。</w:t>
      </w:r>
    </w:p>
    <w:p w14:paraId="0A129D32">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25" w:name="_Toc14774"/>
      <w:bookmarkStart w:id="26" w:name="_Toc12973"/>
      <w:r>
        <w:rPr>
          <w:rFonts w:eastAsia="仿宋_GB2312"/>
          <w:b/>
          <w:bCs/>
          <w:kern w:val="2"/>
          <w:sz w:val="28"/>
          <w:szCs w:val="28"/>
        </w:rPr>
        <w:t>4.3 面临的问题及挑战</w:t>
      </w:r>
      <w:bookmarkEnd w:id="25"/>
      <w:bookmarkEnd w:id="26"/>
    </w:p>
    <w:p w14:paraId="77EBD5BF">
      <w:pPr>
        <w:spacing w:line="360" w:lineRule="auto"/>
        <w:ind w:firstLine="560" w:firstLineChars="200"/>
        <w:rPr>
          <w:rFonts w:eastAsia="仿宋_GB2312"/>
          <w:sz w:val="28"/>
          <w:szCs w:val="28"/>
        </w:rPr>
      </w:pPr>
      <w:r>
        <w:rPr>
          <w:rFonts w:eastAsia="仿宋_GB2312"/>
          <w:sz w:val="28"/>
          <w:szCs w:val="28"/>
        </w:rPr>
        <w:t>（1）栖息地丧失和破碎化</w:t>
      </w:r>
    </w:p>
    <w:p w14:paraId="474DB683">
      <w:pPr>
        <w:spacing w:line="360" w:lineRule="auto"/>
        <w:ind w:firstLine="560" w:firstLineChars="200"/>
        <w:rPr>
          <w:rFonts w:eastAsia="仿宋_GB2312"/>
          <w:sz w:val="28"/>
          <w:szCs w:val="28"/>
        </w:rPr>
      </w:pPr>
      <w:r>
        <w:rPr>
          <w:rFonts w:eastAsia="仿宋_GB2312"/>
          <w:sz w:val="28"/>
          <w:szCs w:val="28"/>
        </w:rPr>
        <w:t>靖江市栖息地破碎化主要表现在城镇化建设、路网建设、农田、村舍以及频繁的人类活动使野生动物栖息地破碎化或被隔离。栖息地破碎化将直接减少野生动物的</w:t>
      </w:r>
      <w:r>
        <w:rPr>
          <w:rFonts w:hint="eastAsia" w:eastAsia="仿宋_GB2312"/>
          <w:sz w:val="28"/>
          <w:szCs w:val="28"/>
        </w:rPr>
        <w:t>生存空间和</w:t>
      </w:r>
      <w:r>
        <w:rPr>
          <w:rFonts w:eastAsia="仿宋_GB2312"/>
          <w:sz w:val="28"/>
          <w:szCs w:val="28"/>
        </w:rPr>
        <w:t>食物来源，降低其繁殖需求的承载量，导致野生动物种群数量的减少。</w:t>
      </w:r>
    </w:p>
    <w:p w14:paraId="178EF0A2">
      <w:pPr>
        <w:spacing w:line="360" w:lineRule="auto"/>
        <w:ind w:firstLine="560" w:firstLineChars="200"/>
        <w:rPr>
          <w:rFonts w:eastAsia="仿宋_GB2312"/>
          <w:sz w:val="28"/>
          <w:szCs w:val="28"/>
        </w:rPr>
      </w:pPr>
      <w:r>
        <w:rPr>
          <w:rFonts w:eastAsia="仿宋_GB2312"/>
          <w:sz w:val="28"/>
          <w:szCs w:val="28"/>
        </w:rPr>
        <w:t>（2）林地群落结构单一，物种多样性低</w:t>
      </w:r>
    </w:p>
    <w:p w14:paraId="160FB0A9">
      <w:pPr>
        <w:spacing w:line="360" w:lineRule="auto"/>
        <w:ind w:firstLine="560" w:firstLineChars="200"/>
        <w:rPr>
          <w:rFonts w:eastAsia="仿宋_GB2312"/>
          <w:sz w:val="28"/>
          <w:szCs w:val="28"/>
        </w:rPr>
      </w:pPr>
      <w:r>
        <w:rPr>
          <w:rFonts w:eastAsia="仿宋_GB2312"/>
          <w:sz w:val="28"/>
          <w:szCs w:val="28"/>
        </w:rPr>
        <w:t>靖江市境内林地类型大多以人工林为主，树种组成单一，林下物种多样性较低，导致森林碳汇功能较弱，群落结构不稳定，森林生态系统抗病灾能力弱，易发生森林病虫害，影响生态系统的稳定性。</w:t>
      </w:r>
    </w:p>
    <w:p w14:paraId="0E3D61A9">
      <w:pPr>
        <w:spacing w:line="360" w:lineRule="auto"/>
        <w:ind w:firstLine="560" w:firstLineChars="200"/>
        <w:rPr>
          <w:rFonts w:eastAsia="仿宋_GB2312"/>
          <w:sz w:val="28"/>
          <w:szCs w:val="28"/>
        </w:rPr>
      </w:pPr>
      <w:r>
        <w:rPr>
          <w:rFonts w:eastAsia="仿宋_GB2312"/>
          <w:sz w:val="28"/>
          <w:szCs w:val="28"/>
        </w:rPr>
        <w:t>（3）外来物种入侵</w:t>
      </w:r>
    </w:p>
    <w:p w14:paraId="1996F069">
      <w:pPr>
        <w:spacing w:line="360" w:lineRule="auto"/>
        <w:ind w:firstLine="560" w:firstLineChars="200"/>
        <w:rPr>
          <w:rFonts w:eastAsia="仿宋_GB2312"/>
          <w:sz w:val="28"/>
          <w:szCs w:val="28"/>
        </w:rPr>
      </w:pPr>
      <w:r>
        <w:rPr>
          <w:rFonts w:eastAsia="仿宋_GB2312"/>
          <w:sz w:val="28"/>
          <w:szCs w:val="28"/>
        </w:rPr>
        <w:t>靖江是新兴的港口工业城市，水陆交通便利，随着国际贸易的增加，外来物种易通过有意或无意的引入而扩散。靖江市目前已发现入侵物种达48种，危害较大的包括喜旱莲子草、凤眼莲、加拿大一枝黄花、巴西红耳龟、福寿螺、克氏原螯虾、美国白蛾等外来入侵物种，对农业</w:t>
      </w:r>
      <w:r>
        <w:rPr>
          <w:rFonts w:hint="eastAsia" w:eastAsia="仿宋_GB2312"/>
          <w:sz w:val="28"/>
          <w:szCs w:val="28"/>
        </w:rPr>
        <w:t>、林业</w:t>
      </w:r>
      <w:r>
        <w:rPr>
          <w:rFonts w:eastAsia="仿宋_GB2312"/>
          <w:sz w:val="28"/>
          <w:szCs w:val="28"/>
        </w:rPr>
        <w:t>和渔业生产造成影响</w:t>
      </w:r>
      <w:r>
        <w:rPr>
          <w:rFonts w:hint="eastAsia" w:eastAsia="仿宋_GB2312"/>
          <w:sz w:val="28"/>
          <w:szCs w:val="28"/>
        </w:rPr>
        <w:t>，</w:t>
      </w:r>
      <w:r>
        <w:rPr>
          <w:rFonts w:eastAsia="仿宋_GB2312"/>
          <w:sz w:val="28"/>
          <w:szCs w:val="28"/>
        </w:rPr>
        <w:t>防治压力较大。</w:t>
      </w:r>
    </w:p>
    <w:p w14:paraId="74952EEB">
      <w:pPr>
        <w:spacing w:line="360" w:lineRule="auto"/>
        <w:ind w:firstLine="560" w:firstLineChars="200"/>
        <w:rPr>
          <w:rFonts w:eastAsia="仿宋_GB2312"/>
          <w:sz w:val="28"/>
          <w:szCs w:val="28"/>
        </w:rPr>
      </w:pPr>
      <w:r>
        <w:rPr>
          <w:rFonts w:eastAsia="仿宋_GB2312"/>
          <w:sz w:val="28"/>
          <w:szCs w:val="28"/>
        </w:rPr>
        <w:t>（4）环境污染，水质恶化</w:t>
      </w:r>
    </w:p>
    <w:p w14:paraId="3DEB0805">
      <w:pPr>
        <w:spacing w:line="360" w:lineRule="auto"/>
        <w:ind w:firstLine="560" w:firstLineChars="200"/>
        <w:rPr>
          <w:rFonts w:eastAsia="仿宋_GB2312"/>
          <w:sz w:val="28"/>
          <w:szCs w:val="28"/>
        </w:rPr>
      </w:pPr>
      <w:r>
        <w:rPr>
          <w:rFonts w:eastAsia="仿宋_GB2312"/>
          <w:sz w:val="28"/>
          <w:szCs w:val="28"/>
        </w:rPr>
        <w:t>随着工业化和城镇化进程加快，</w:t>
      </w:r>
      <w:r>
        <w:rPr>
          <w:rFonts w:hint="eastAsia" w:eastAsia="仿宋_GB2312"/>
          <w:sz w:val="28"/>
          <w:szCs w:val="28"/>
        </w:rPr>
        <w:t>靖江</w:t>
      </w:r>
      <w:r>
        <w:rPr>
          <w:rFonts w:eastAsia="仿宋_GB2312"/>
          <w:sz w:val="28"/>
          <w:szCs w:val="28"/>
        </w:rPr>
        <w:t>工业和生活废污水量增幅较大，加之农业面临污染越来越严重和湖区过度养殖，导致沿岸水质变差，底泥污染和湖水富营养化。另一方面，化学农药被大量使用，导致有害物质沉积，破坏土壤，污染水体，对环境污染严重。</w:t>
      </w:r>
    </w:p>
    <w:p w14:paraId="7743A410">
      <w:pPr>
        <w:spacing w:line="360" w:lineRule="auto"/>
        <w:ind w:firstLine="560" w:firstLineChars="200"/>
        <w:rPr>
          <w:rFonts w:eastAsia="仿宋_GB2312"/>
          <w:sz w:val="28"/>
          <w:szCs w:val="28"/>
        </w:rPr>
        <w:sectPr>
          <w:pgSz w:w="11906" w:h="16838"/>
          <w:pgMar w:top="1440" w:right="1800" w:bottom="1440" w:left="1800" w:header="851" w:footer="992" w:gutter="0"/>
          <w:cols w:space="425" w:num="1"/>
          <w:docGrid w:type="lines" w:linePitch="312" w:charSpace="0"/>
        </w:sectPr>
      </w:pPr>
    </w:p>
    <w:p w14:paraId="71664C5F">
      <w:pPr>
        <w:keepNext/>
        <w:keepLines/>
        <w:widowControl w:val="0"/>
        <w:spacing w:before="100" w:beforeAutospacing="1" w:after="100" w:afterAutospacing="1" w:line="590" w:lineRule="exact"/>
        <w:jc w:val="center"/>
        <w:outlineLvl w:val="0"/>
        <w:rPr>
          <w:rFonts w:eastAsia="仿宋_GB2312"/>
          <w:b/>
          <w:bCs/>
          <w:kern w:val="44"/>
          <w:sz w:val="32"/>
          <w:szCs w:val="44"/>
        </w:rPr>
      </w:pPr>
      <w:bookmarkStart w:id="27" w:name="_Toc2845"/>
      <w:bookmarkStart w:id="28" w:name="_Toc28218"/>
      <w:r>
        <w:rPr>
          <w:rFonts w:eastAsia="仿宋_GB2312"/>
          <w:b/>
          <w:bCs/>
          <w:kern w:val="44"/>
          <w:sz w:val="32"/>
          <w:szCs w:val="44"/>
        </w:rPr>
        <w:t xml:space="preserve">第三章 </w:t>
      </w:r>
      <w:bookmarkEnd w:id="16"/>
      <w:r>
        <w:rPr>
          <w:rFonts w:eastAsia="仿宋_GB2312"/>
          <w:b/>
          <w:bCs/>
          <w:kern w:val="44"/>
          <w:sz w:val="32"/>
          <w:szCs w:val="44"/>
        </w:rPr>
        <w:t>总体要求</w:t>
      </w:r>
      <w:bookmarkEnd w:id="27"/>
      <w:bookmarkEnd w:id="28"/>
    </w:p>
    <w:p w14:paraId="4047EF97">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29" w:name="_Toc124098013"/>
      <w:bookmarkStart w:id="30" w:name="_Toc1558"/>
      <w:bookmarkStart w:id="31" w:name="_Toc24729"/>
      <w:bookmarkStart w:id="32" w:name="_Toc124098009"/>
      <w:r>
        <w:rPr>
          <w:rFonts w:eastAsia="仿宋_GB2312"/>
          <w:b/>
          <w:bCs/>
          <w:kern w:val="2"/>
          <w:sz w:val="28"/>
          <w:szCs w:val="28"/>
        </w:rPr>
        <w:t xml:space="preserve">3.1 </w:t>
      </w:r>
      <w:bookmarkEnd w:id="29"/>
      <w:r>
        <w:rPr>
          <w:rFonts w:eastAsia="仿宋_GB2312"/>
          <w:b/>
          <w:bCs/>
          <w:kern w:val="2"/>
          <w:sz w:val="28"/>
          <w:szCs w:val="28"/>
        </w:rPr>
        <w:t>指导思想</w:t>
      </w:r>
      <w:bookmarkEnd w:id="30"/>
      <w:bookmarkEnd w:id="31"/>
    </w:p>
    <w:p w14:paraId="3201905D">
      <w:pPr>
        <w:pStyle w:val="22"/>
        <w:spacing w:before="100" w:beforeAutospacing="1" w:after="100" w:afterAutospacing="1" w:line="360" w:lineRule="auto"/>
        <w:ind w:firstLine="560"/>
        <w:jc w:val="both"/>
        <w:rPr>
          <w:rFonts w:eastAsia="仿宋_GB2312"/>
          <w:sz w:val="28"/>
          <w:szCs w:val="28"/>
        </w:rPr>
      </w:pPr>
      <w:r>
        <w:rPr>
          <w:rFonts w:eastAsia="仿宋_GB2312"/>
          <w:sz w:val="28"/>
          <w:szCs w:val="28"/>
        </w:rPr>
        <w:t>以习近平新时代中国特色社会主义思想为指导，全面贯彻党的二十大和二十届三中全会精神，深入践行习近平生态文明思想，落实美丽江苏建设的决策部署，将生物多样性保护理念融入生态文明建设全过程，坚持生态优先、绿色发展，构建生物多样性观测网络和相对稳定的生物多样性保护空间布局，全面提升生物多样性保护能力与可持续利用水平，确保重要生态系统、生物物种和生物遗传资源得到全面保护，在建设人与自然和谐共生的现代化上迈出坚实步伐。</w:t>
      </w:r>
    </w:p>
    <w:p w14:paraId="19869DB8">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33" w:name="_Toc124098018"/>
      <w:bookmarkStart w:id="34" w:name="_Toc27985"/>
      <w:bookmarkStart w:id="35" w:name="_Toc2203"/>
      <w:r>
        <w:rPr>
          <w:rFonts w:eastAsia="仿宋_GB2312"/>
          <w:b/>
          <w:bCs/>
          <w:kern w:val="2"/>
          <w:sz w:val="28"/>
          <w:szCs w:val="28"/>
        </w:rPr>
        <w:t xml:space="preserve">3.2 </w:t>
      </w:r>
      <w:bookmarkEnd w:id="33"/>
      <w:r>
        <w:rPr>
          <w:rFonts w:eastAsia="仿宋_GB2312"/>
          <w:b/>
          <w:bCs/>
          <w:kern w:val="2"/>
          <w:sz w:val="28"/>
          <w:szCs w:val="28"/>
        </w:rPr>
        <w:t>基本原则</w:t>
      </w:r>
      <w:bookmarkEnd w:id="34"/>
      <w:bookmarkEnd w:id="35"/>
    </w:p>
    <w:p w14:paraId="480A29F7">
      <w:pPr>
        <w:pStyle w:val="22"/>
        <w:spacing w:line="360" w:lineRule="auto"/>
        <w:ind w:firstLine="560"/>
        <w:jc w:val="both"/>
        <w:rPr>
          <w:rFonts w:eastAsia="仿宋_GB2312"/>
          <w:sz w:val="28"/>
          <w:szCs w:val="28"/>
        </w:rPr>
      </w:pPr>
      <w:r>
        <w:rPr>
          <w:rFonts w:eastAsia="仿宋_GB2312"/>
          <w:sz w:val="28"/>
          <w:szCs w:val="28"/>
        </w:rPr>
        <w:t>尊重自然，保护优先。牢固树立尊重自然、顺应自然、保护自然的生态文明理念，坚持保护优先、自然恢复为主，切实把生物多样性保护工作放在重要位置，在社会发展中优先考虑生物多样性保护，减轻人类活动对生物多样性的影响，保障生态安全。</w:t>
      </w:r>
    </w:p>
    <w:p w14:paraId="500E5D69">
      <w:pPr>
        <w:pStyle w:val="22"/>
        <w:spacing w:line="360" w:lineRule="auto"/>
        <w:ind w:firstLine="560"/>
        <w:jc w:val="both"/>
        <w:rPr>
          <w:rFonts w:eastAsia="仿宋_GB2312"/>
          <w:sz w:val="28"/>
          <w:szCs w:val="28"/>
        </w:rPr>
      </w:pPr>
      <w:r>
        <w:rPr>
          <w:rFonts w:eastAsia="仿宋_GB2312"/>
          <w:sz w:val="28"/>
          <w:szCs w:val="28"/>
        </w:rPr>
        <w:t>系统谋划，统筹推进。从生物多样性保护与社会经济协调发展的全局出发，做好顶层设计，系统性谋划实施生物多样性保护与修复工程。聚焦主要问题和重点工作，精准发力，分步实施，逐步提升生物多样性保护与可持续利用水平。</w:t>
      </w:r>
    </w:p>
    <w:p w14:paraId="3145DEEE">
      <w:pPr>
        <w:pStyle w:val="22"/>
        <w:spacing w:line="360" w:lineRule="auto"/>
        <w:ind w:firstLine="560"/>
        <w:jc w:val="both"/>
        <w:rPr>
          <w:rFonts w:eastAsia="仿宋_GB2312"/>
          <w:sz w:val="28"/>
          <w:szCs w:val="28"/>
        </w:rPr>
      </w:pPr>
      <w:r>
        <w:rPr>
          <w:rFonts w:eastAsia="仿宋_GB2312"/>
          <w:sz w:val="28"/>
          <w:szCs w:val="28"/>
        </w:rPr>
        <w:t>分级落实，协调发展。明确各部门生物多样性保护管理职责，分级压实责任。加快建立健全生物多样性保护、可持续利用和惠益分享相关规章制度体系，构建生物多样性保护和治理新格局。</w:t>
      </w:r>
    </w:p>
    <w:p w14:paraId="41E1DA37">
      <w:pPr>
        <w:pStyle w:val="22"/>
        <w:spacing w:line="360" w:lineRule="auto"/>
        <w:ind w:firstLine="560"/>
        <w:jc w:val="both"/>
        <w:rPr>
          <w:rFonts w:eastAsia="仿宋_GB2312"/>
          <w:sz w:val="28"/>
          <w:szCs w:val="28"/>
        </w:rPr>
      </w:pPr>
      <w:r>
        <w:rPr>
          <w:rFonts w:eastAsia="仿宋_GB2312"/>
          <w:sz w:val="28"/>
          <w:szCs w:val="28"/>
        </w:rPr>
        <w:t>政府引导，多方参与。建立健全政府引导、企业行动和公众参与的生物多样性保护长效机制，充分发挥政府的组织推动作用，广泛开展生物多样性宣传教育活动，强化信息公开和舆论引导，激发企业、社会组织和公众参与生物多样性保护的积极性。</w:t>
      </w:r>
    </w:p>
    <w:p w14:paraId="3500B38D">
      <w:pPr>
        <w:pStyle w:val="22"/>
        <w:spacing w:line="360" w:lineRule="auto"/>
        <w:ind w:firstLine="560"/>
        <w:jc w:val="both"/>
        <w:rPr>
          <w:rFonts w:eastAsia="仿宋_GB2312"/>
          <w:sz w:val="28"/>
          <w:szCs w:val="28"/>
        </w:rPr>
      </w:pPr>
      <w:r>
        <w:rPr>
          <w:rFonts w:eastAsia="仿宋_GB2312"/>
          <w:sz w:val="28"/>
          <w:szCs w:val="28"/>
        </w:rPr>
        <w:t>持续利用，和谐发展。践行“绿水青山就是金山银山”理念，加大对生物资源开发和可持续利用技术研究的力度，充分挖掘生物多样性潜在经济价值、使用价值，拓宽生态产品价值转化路径，实现生物多样性保护和经济高质量发展双赢。</w:t>
      </w:r>
    </w:p>
    <w:p w14:paraId="45094AAE">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36" w:name="_Toc32284"/>
      <w:bookmarkStart w:id="37" w:name="_Toc2215"/>
      <w:r>
        <w:rPr>
          <w:rFonts w:eastAsia="仿宋_GB2312"/>
          <w:b/>
          <w:bCs/>
          <w:kern w:val="2"/>
          <w:sz w:val="28"/>
          <w:szCs w:val="28"/>
        </w:rPr>
        <w:t xml:space="preserve">3.3 </w:t>
      </w:r>
      <w:bookmarkEnd w:id="32"/>
      <w:r>
        <w:rPr>
          <w:rFonts w:eastAsia="仿宋_GB2312"/>
          <w:b/>
          <w:bCs/>
          <w:kern w:val="2"/>
          <w:sz w:val="28"/>
          <w:szCs w:val="28"/>
        </w:rPr>
        <w:t>规划依据</w:t>
      </w:r>
      <w:bookmarkEnd w:id="36"/>
      <w:bookmarkEnd w:id="37"/>
    </w:p>
    <w:p w14:paraId="78C8F48C">
      <w:pPr>
        <w:overflowPunct w:val="0"/>
        <w:spacing w:line="360" w:lineRule="auto"/>
        <w:outlineLvl w:val="2"/>
        <w:rPr>
          <w:rFonts w:eastAsia="仿宋_GB2312"/>
          <w:sz w:val="28"/>
          <w:szCs w:val="28"/>
        </w:rPr>
      </w:pPr>
      <w:r>
        <w:rPr>
          <w:rFonts w:eastAsia="仿宋_GB2312"/>
          <w:sz w:val="28"/>
          <w:szCs w:val="28"/>
        </w:rPr>
        <w:t>3.3.1 法律法规</w:t>
      </w:r>
    </w:p>
    <w:p w14:paraId="73844735">
      <w:pPr>
        <w:overflowPunct w:val="0"/>
        <w:spacing w:line="360" w:lineRule="auto"/>
        <w:ind w:firstLine="560" w:firstLineChars="200"/>
        <w:outlineLvl w:val="3"/>
        <w:rPr>
          <w:rFonts w:eastAsia="仿宋_GB2312"/>
          <w:sz w:val="28"/>
          <w:szCs w:val="28"/>
        </w:rPr>
      </w:pPr>
      <w:r>
        <w:rPr>
          <w:rFonts w:eastAsia="仿宋_GB2312"/>
          <w:sz w:val="28"/>
          <w:szCs w:val="28"/>
        </w:rPr>
        <w:t>1.《中华人民共和国土地管理法》（2019年修正）；</w:t>
      </w:r>
    </w:p>
    <w:p w14:paraId="4E90AEBE">
      <w:pPr>
        <w:overflowPunct w:val="0"/>
        <w:spacing w:line="360" w:lineRule="auto"/>
        <w:ind w:firstLine="560" w:firstLineChars="200"/>
        <w:outlineLvl w:val="3"/>
        <w:rPr>
          <w:rFonts w:eastAsia="仿宋_GB2312"/>
          <w:sz w:val="28"/>
          <w:szCs w:val="28"/>
        </w:rPr>
      </w:pPr>
      <w:r>
        <w:rPr>
          <w:rFonts w:eastAsia="仿宋_GB2312"/>
          <w:sz w:val="28"/>
          <w:szCs w:val="28"/>
        </w:rPr>
        <w:t>2.《中华人民共和国环境保护法》（2014年修订）；</w:t>
      </w:r>
    </w:p>
    <w:p w14:paraId="23D6FBBA">
      <w:pPr>
        <w:overflowPunct w:val="0"/>
        <w:spacing w:line="360" w:lineRule="auto"/>
        <w:ind w:firstLine="560" w:firstLineChars="200"/>
        <w:outlineLvl w:val="3"/>
        <w:rPr>
          <w:rFonts w:eastAsia="仿宋_GB2312"/>
          <w:sz w:val="28"/>
          <w:szCs w:val="28"/>
        </w:rPr>
      </w:pPr>
      <w:r>
        <w:rPr>
          <w:rFonts w:eastAsia="仿宋_GB2312"/>
          <w:sz w:val="28"/>
          <w:szCs w:val="28"/>
        </w:rPr>
        <w:t>3.《中华人民共和国水法》（2016年修改）；</w:t>
      </w:r>
    </w:p>
    <w:p w14:paraId="294649D2">
      <w:pPr>
        <w:overflowPunct w:val="0"/>
        <w:spacing w:line="360" w:lineRule="auto"/>
        <w:ind w:firstLine="560" w:firstLineChars="200"/>
        <w:outlineLvl w:val="3"/>
        <w:rPr>
          <w:rFonts w:eastAsia="仿宋_GB2312"/>
          <w:sz w:val="28"/>
          <w:szCs w:val="28"/>
        </w:rPr>
      </w:pPr>
      <w:r>
        <w:rPr>
          <w:rFonts w:eastAsia="仿宋_GB2312"/>
          <w:sz w:val="28"/>
          <w:szCs w:val="28"/>
        </w:rPr>
        <w:t>4.《中华人民共和国水污染防治法》（2017年修正）；</w:t>
      </w:r>
    </w:p>
    <w:p w14:paraId="0D96A8B7">
      <w:pPr>
        <w:overflowPunct w:val="0"/>
        <w:spacing w:line="360" w:lineRule="auto"/>
        <w:ind w:firstLine="560" w:firstLineChars="200"/>
        <w:outlineLvl w:val="3"/>
        <w:rPr>
          <w:rFonts w:eastAsia="仿宋_GB2312"/>
          <w:sz w:val="28"/>
          <w:szCs w:val="28"/>
        </w:rPr>
      </w:pPr>
      <w:r>
        <w:rPr>
          <w:rFonts w:eastAsia="仿宋_GB2312"/>
          <w:sz w:val="28"/>
          <w:szCs w:val="28"/>
        </w:rPr>
        <w:t>5.《中华人民共和国野生动物保护法》（2022年修订）；</w:t>
      </w:r>
    </w:p>
    <w:p w14:paraId="769B0A77">
      <w:pPr>
        <w:overflowPunct w:val="0"/>
        <w:spacing w:line="360" w:lineRule="auto"/>
        <w:ind w:firstLine="560" w:firstLineChars="200"/>
        <w:outlineLvl w:val="3"/>
        <w:rPr>
          <w:rFonts w:eastAsia="仿宋_GB2312"/>
          <w:sz w:val="28"/>
          <w:szCs w:val="28"/>
        </w:rPr>
      </w:pPr>
      <w:r>
        <w:rPr>
          <w:rFonts w:eastAsia="仿宋_GB2312"/>
          <w:sz w:val="28"/>
          <w:szCs w:val="28"/>
        </w:rPr>
        <w:t>6.《中华人民共和国城乡规划法》（2019年修正）；</w:t>
      </w:r>
    </w:p>
    <w:p w14:paraId="429FB6DE">
      <w:pPr>
        <w:overflowPunct w:val="0"/>
        <w:spacing w:line="360" w:lineRule="auto"/>
        <w:ind w:firstLine="560" w:firstLineChars="200"/>
        <w:outlineLvl w:val="3"/>
        <w:rPr>
          <w:rFonts w:eastAsia="仿宋_GB2312"/>
          <w:sz w:val="28"/>
          <w:szCs w:val="28"/>
        </w:rPr>
      </w:pPr>
      <w:r>
        <w:rPr>
          <w:rFonts w:eastAsia="仿宋_GB2312"/>
          <w:sz w:val="28"/>
          <w:szCs w:val="28"/>
        </w:rPr>
        <w:t>7.《中华人民共和国森林法》（2019年修订）；</w:t>
      </w:r>
    </w:p>
    <w:p w14:paraId="4A3111B2">
      <w:pPr>
        <w:pStyle w:val="5"/>
        <w:spacing w:line="360" w:lineRule="auto"/>
        <w:ind w:firstLine="560" w:firstLineChars="200"/>
        <w:outlineLvl w:val="3"/>
        <w:rPr>
          <w:rFonts w:eastAsia="仿宋_GB2312"/>
          <w:sz w:val="28"/>
          <w:szCs w:val="28"/>
        </w:rPr>
      </w:pPr>
      <w:r>
        <w:rPr>
          <w:rFonts w:eastAsia="仿宋_GB2312"/>
          <w:sz w:val="28"/>
          <w:szCs w:val="28"/>
        </w:rPr>
        <w:t>8.《中华人民共和国长江保护法》（2020年）；</w:t>
      </w:r>
    </w:p>
    <w:p w14:paraId="11C4EAF0">
      <w:pPr>
        <w:overflowPunct w:val="0"/>
        <w:spacing w:line="360" w:lineRule="auto"/>
        <w:ind w:firstLine="560" w:firstLineChars="200"/>
        <w:outlineLvl w:val="3"/>
        <w:rPr>
          <w:rFonts w:eastAsia="仿宋_GB2312"/>
          <w:sz w:val="28"/>
          <w:szCs w:val="28"/>
        </w:rPr>
      </w:pPr>
      <w:r>
        <w:rPr>
          <w:rFonts w:eastAsia="仿宋_GB2312"/>
          <w:sz w:val="28"/>
          <w:szCs w:val="28"/>
        </w:rPr>
        <w:t>9.《中华人民共和国湿地保护法》（2021年）；</w:t>
      </w:r>
    </w:p>
    <w:p w14:paraId="4EF9F0E7">
      <w:pPr>
        <w:overflowPunct w:val="0"/>
        <w:spacing w:line="360" w:lineRule="auto"/>
        <w:ind w:firstLine="560" w:firstLineChars="200"/>
        <w:outlineLvl w:val="3"/>
        <w:rPr>
          <w:rFonts w:eastAsia="仿宋_GB2312"/>
          <w:sz w:val="28"/>
          <w:szCs w:val="28"/>
        </w:rPr>
      </w:pPr>
      <w:r>
        <w:rPr>
          <w:rFonts w:eastAsia="仿宋_GB2312"/>
          <w:sz w:val="28"/>
          <w:szCs w:val="28"/>
        </w:rPr>
        <w:t>10.《中华人民共和国生物安全法》（2020年）；</w:t>
      </w:r>
    </w:p>
    <w:p w14:paraId="15D79C37">
      <w:pPr>
        <w:overflowPunct w:val="0"/>
        <w:spacing w:line="360" w:lineRule="auto"/>
        <w:ind w:firstLine="560" w:firstLineChars="200"/>
        <w:outlineLvl w:val="3"/>
        <w:rPr>
          <w:rFonts w:eastAsia="仿宋_GB2312"/>
          <w:sz w:val="28"/>
          <w:szCs w:val="28"/>
        </w:rPr>
      </w:pPr>
      <w:r>
        <w:rPr>
          <w:rFonts w:eastAsia="仿宋_GB2312"/>
          <w:sz w:val="28"/>
          <w:szCs w:val="28"/>
        </w:rPr>
        <w:t>11.《中华人民共和国防洪法》（2016年修正）；</w:t>
      </w:r>
    </w:p>
    <w:p w14:paraId="48A57E5E">
      <w:pPr>
        <w:overflowPunct w:val="0"/>
        <w:spacing w:line="360" w:lineRule="auto"/>
        <w:ind w:firstLine="560" w:firstLineChars="200"/>
        <w:outlineLvl w:val="3"/>
        <w:rPr>
          <w:rFonts w:eastAsia="仿宋_GB2312"/>
          <w:sz w:val="28"/>
          <w:szCs w:val="28"/>
        </w:rPr>
      </w:pPr>
      <w:r>
        <w:rPr>
          <w:rFonts w:eastAsia="仿宋_GB2312"/>
          <w:sz w:val="28"/>
          <w:szCs w:val="28"/>
        </w:rPr>
        <w:t>12.《中华人民共和国渔业法》（2013年修正）；</w:t>
      </w:r>
    </w:p>
    <w:p w14:paraId="5CA272BA">
      <w:pPr>
        <w:overflowPunct w:val="0"/>
        <w:spacing w:line="360" w:lineRule="auto"/>
        <w:ind w:firstLine="560" w:firstLineChars="200"/>
        <w:outlineLvl w:val="3"/>
        <w:rPr>
          <w:rFonts w:eastAsia="仿宋_GB2312"/>
          <w:sz w:val="28"/>
          <w:szCs w:val="28"/>
        </w:rPr>
      </w:pPr>
      <w:r>
        <w:rPr>
          <w:rFonts w:eastAsia="仿宋_GB2312"/>
          <w:sz w:val="28"/>
          <w:szCs w:val="28"/>
        </w:rPr>
        <w:t>13.《基本农田保护条例》（2011年修订）；</w:t>
      </w:r>
    </w:p>
    <w:p w14:paraId="1170AB1E">
      <w:pPr>
        <w:overflowPunct w:val="0"/>
        <w:spacing w:line="360" w:lineRule="auto"/>
        <w:ind w:firstLine="560" w:firstLineChars="200"/>
        <w:outlineLvl w:val="3"/>
        <w:rPr>
          <w:rFonts w:eastAsia="仿宋_GB2312"/>
          <w:sz w:val="28"/>
          <w:szCs w:val="28"/>
        </w:rPr>
      </w:pPr>
      <w:r>
        <w:rPr>
          <w:rFonts w:eastAsia="仿宋_GB2312"/>
          <w:sz w:val="28"/>
          <w:szCs w:val="28"/>
        </w:rPr>
        <w:t>14.《中华人民共和国陆生野生动物保护实施条例》（2016年修订）；</w:t>
      </w:r>
    </w:p>
    <w:p w14:paraId="3BEF51CD">
      <w:pPr>
        <w:overflowPunct w:val="0"/>
        <w:spacing w:line="360" w:lineRule="auto"/>
        <w:ind w:firstLine="560" w:firstLineChars="200"/>
        <w:outlineLvl w:val="3"/>
        <w:rPr>
          <w:rFonts w:eastAsia="仿宋_GB2312"/>
          <w:sz w:val="28"/>
          <w:szCs w:val="28"/>
        </w:rPr>
      </w:pPr>
      <w:r>
        <w:rPr>
          <w:rFonts w:eastAsia="仿宋_GB2312"/>
          <w:sz w:val="28"/>
          <w:szCs w:val="28"/>
        </w:rPr>
        <w:t>15.《中华人民共和国野生植物保护条例》（2017年修订）；</w:t>
      </w:r>
    </w:p>
    <w:p w14:paraId="077C89D6">
      <w:pPr>
        <w:overflowPunct w:val="0"/>
        <w:spacing w:line="360" w:lineRule="auto"/>
        <w:ind w:firstLine="560" w:firstLineChars="200"/>
        <w:outlineLvl w:val="3"/>
        <w:rPr>
          <w:rFonts w:eastAsia="仿宋_GB2312"/>
          <w:sz w:val="28"/>
          <w:szCs w:val="28"/>
        </w:rPr>
      </w:pPr>
      <w:r>
        <w:rPr>
          <w:rFonts w:eastAsia="仿宋_GB2312"/>
          <w:sz w:val="28"/>
          <w:szCs w:val="28"/>
        </w:rPr>
        <w:t>16.《风景名胜区条例》（2016年修订）；</w:t>
      </w:r>
    </w:p>
    <w:p w14:paraId="3A03676F">
      <w:pPr>
        <w:overflowPunct w:val="0"/>
        <w:spacing w:line="360" w:lineRule="auto"/>
        <w:ind w:firstLine="560" w:firstLineChars="200"/>
        <w:outlineLvl w:val="3"/>
        <w:rPr>
          <w:rFonts w:eastAsia="仿宋_GB2312"/>
          <w:sz w:val="28"/>
          <w:szCs w:val="28"/>
        </w:rPr>
      </w:pPr>
      <w:r>
        <w:rPr>
          <w:rFonts w:eastAsia="仿宋_GB2312"/>
          <w:sz w:val="28"/>
          <w:szCs w:val="28"/>
        </w:rPr>
        <w:t>17.《江苏省农业生态环境保护条例》（2018年修正）；</w:t>
      </w:r>
    </w:p>
    <w:p w14:paraId="09F43ADB">
      <w:pPr>
        <w:overflowPunct w:val="0"/>
        <w:spacing w:line="360" w:lineRule="auto"/>
        <w:ind w:firstLine="560" w:firstLineChars="200"/>
        <w:outlineLvl w:val="3"/>
        <w:rPr>
          <w:rFonts w:eastAsia="仿宋_GB2312"/>
          <w:sz w:val="28"/>
          <w:szCs w:val="28"/>
        </w:rPr>
      </w:pPr>
      <w:r>
        <w:rPr>
          <w:rFonts w:eastAsia="仿宋_GB2312"/>
          <w:sz w:val="28"/>
          <w:szCs w:val="28"/>
        </w:rPr>
        <w:t>18.《江苏省生态环境保护条例》（2024年）；</w:t>
      </w:r>
    </w:p>
    <w:p w14:paraId="1F36FDA9">
      <w:pPr>
        <w:overflowPunct w:val="0"/>
        <w:spacing w:line="360" w:lineRule="auto"/>
        <w:ind w:firstLine="560" w:firstLineChars="200"/>
        <w:outlineLvl w:val="3"/>
        <w:rPr>
          <w:rFonts w:eastAsia="仿宋_GB2312"/>
          <w:sz w:val="28"/>
          <w:szCs w:val="28"/>
        </w:rPr>
      </w:pPr>
      <w:r>
        <w:rPr>
          <w:rFonts w:eastAsia="仿宋_GB2312"/>
          <w:sz w:val="28"/>
          <w:szCs w:val="28"/>
        </w:rPr>
        <w:t>19.《江苏省水资源管理条例》（2021年修正）；</w:t>
      </w:r>
    </w:p>
    <w:p w14:paraId="2C6C286A">
      <w:pPr>
        <w:overflowPunct w:val="0"/>
        <w:spacing w:line="360" w:lineRule="auto"/>
        <w:ind w:firstLine="560" w:firstLineChars="200"/>
        <w:outlineLvl w:val="3"/>
        <w:rPr>
          <w:rFonts w:eastAsia="仿宋_GB2312"/>
          <w:sz w:val="28"/>
          <w:szCs w:val="28"/>
        </w:rPr>
      </w:pPr>
      <w:r>
        <w:rPr>
          <w:rFonts w:eastAsia="仿宋_GB2312"/>
          <w:sz w:val="28"/>
          <w:szCs w:val="28"/>
        </w:rPr>
        <w:t>20.《江苏省水利工程管理条例》（2018年修正）；</w:t>
      </w:r>
    </w:p>
    <w:p w14:paraId="740DDD60">
      <w:pPr>
        <w:overflowPunct w:val="0"/>
        <w:spacing w:line="360" w:lineRule="auto"/>
        <w:ind w:firstLine="560" w:firstLineChars="200"/>
        <w:outlineLvl w:val="3"/>
        <w:rPr>
          <w:rFonts w:eastAsia="仿宋_GB2312"/>
          <w:sz w:val="28"/>
          <w:szCs w:val="28"/>
        </w:rPr>
      </w:pPr>
      <w:r>
        <w:rPr>
          <w:rFonts w:eastAsia="仿宋_GB2312"/>
          <w:sz w:val="28"/>
          <w:szCs w:val="28"/>
        </w:rPr>
        <w:t>21.《江苏省内河交通管理条例》（2017年修正）；</w:t>
      </w:r>
    </w:p>
    <w:p w14:paraId="034FCACE">
      <w:pPr>
        <w:overflowPunct w:val="0"/>
        <w:spacing w:line="360" w:lineRule="auto"/>
        <w:ind w:firstLine="560" w:firstLineChars="200"/>
        <w:outlineLvl w:val="3"/>
        <w:rPr>
          <w:rFonts w:eastAsia="仿宋_GB2312"/>
          <w:sz w:val="28"/>
          <w:szCs w:val="28"/>
        </w:rPr>
      </w:pPr>
      <w:r>
        <w:rPr>
          <w:rFonts w:eastAsia="仿宋_GB2312"/>
          <w:sz w:val="28"/>
          <w:szCs w:val="28"/>
        </w:rPr>
        <w:t>22.《江苏省湿地保护条例》（2024年修订）。</w:t>
      </w:r>
    </w:p>
    <w:p w14:paraId="1E1E0F4B">
      <w:pPr>
        <w:overflowPunct w:val="0"/>
        <w:spacing w:line="360" w:lineRule="auto"/>
        <w:outlineLvl w:val="2"/>
        <w:rPr>
          <w:rFonts w:eastAsia="仿宋_GB2312"/>
          <w:sz w:val="28"/>
          <w:szCs w:val="28"/>
        </w:rPr>
      </w:pPr>
      <w:r>
        <w:rPr>
          <w:rFonts w:eastAsia="仿宋_GB2312"/>
          <w:sz w:val="28"/>
          <w:szCs w:val="28"/>
        </w:rPr>
        <w:t>3.3.2 规范性文件</w:t>
      </w:r>
    </w:p>
    <w:p w14:paraId="4B6F5BDA">
      <w:pPr>
        <w:overflowPunct w:val="0"/>
        <w:spacing w:line="360" w:lineRule="auto"/>
        <w:ind w:firstLine="560" w:firstLineChars="200"/>
        <w:outlineLvl w:val="3"/>
        <w:rPr>
          <w:rFonts w:eastAsia="仿宋_GB2312"/>
          <w:sz w:val="28"/>
          <w:szCs w:val="28"/>
        </w:rPr>
      </w:pPr>
      <w:r>
        <w:rPr>
          <w:rFonts w:eastAsia="仿宋_GB2312"/>
          <w:sz w:val="28"/>
          <w:szCs w:val="28"/>
        </w:rPr>
        <w:t>1.</w:t>
      </w:r>
      <w:r>
        <w:rPr>
          <w:rFonts w:eastAsia="仿宋_GB2312"/>
          <w:spacing w:val="6"/>
          <w:sz w:val="28"/>
          <w:szCs w:val="28"/>
        </w:rPr>
        <w:t>《</w:t>
      </w:r>
      <w:r>
        <w:rPr>
          <w:rFonts w:eastAsia="仿宋_GB2312"/>
          <w:sz w:val="28"/>
          <w:szCs w:val="28"/>
        </w:rPr>
        <w:t>中共中央办公厅 国务院办公厅</w:t>
      </w:r>
      <w:r>
        <w:rPr>
          <w:rFonts w:eastAsia="仿宋_GB2312"/>
          <w:spacing w:val="6"/>
          <w:sz w:val="28"/>
          <w:szCs w:val="28"/>
        </w:rPr>
        <w:t>关于进一步加强生物多样性保护的意见》</w:t>
      </w:r>
      <w:r>
        <w:rPr>
          <w:rFonts w:eastAsia="仿宋_GB2312"/>
          <w:sz w:val="28"/>
          <w:szCs w:val="28"/>
        </w:rPr>
        <w:t>（2021年）；</w:t>
      </w:r>
    </w:p>
    <w:p w14:paraId="1A353E87">
      <w:pPr>
        <w:overflowPunct w:val="0"/>
        <w:spacing w:line="360" w:lineRule="auto"/>
        <w:ind w:firstLine="560" w:firstLineChars="200"/>
        <w:outlineLvl w:val="3"/>
        <w:rPr>
          <w:rFonts w:eastAsia="仿宋_GB2312"/>
          <w:sz w:val="28"/>
          <w:szCs w:val="28"/>
        </w:rPr>
      </w:pPr>
      <w:r>
        <w:rPr>
          <w:rFonts w:eastAsia="仿宋_GB2312"/>
          <w:sz w:val="28"/>
          <w:szCs w:val="28"/>
        </w:rPr>
        <w:t>2.</w:t>
      </w:r>
      <w:r>
        <w:rPr>
          <w:rFonts w:eastAsia="仿宋_GB2312"/>
          <w:spacing w:val="6"/>
          <w:sz w:val="28"/>
          <w:szCs w:val="28"/>
        </w:rPr>
        <w:t>《中共中央 国务院关于全面推进美丽中国建设的意见》（2024年）；</w:t>
      </w:r>
    </w:p>
    <w:p w14:paraId="69EDEC76">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3.《国务院办公厅关于加强长江水生生物保护工作的意见》</w:t>
      </w:r>
      <w:r>
        <w:rPr>
          <w:rFonts w:eastAsia="仿宋_GB2312"/>
          <w:sz w:val="28"/>
          <w:szCs w:val="28"/>
        </w:rPr>
        <w:t>（2018年）；</w:t>
      </w:r>
    </w:p>
    <w:p w14:paraId="4EFFF6E7">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4.《中共中央办公厅 国务院办公厅关于建立以国家公园为主体的自然保护地体系的指导意见》（2019年）；</w:t>
      </w:r>
    </w:p>
    <w:p w14:paraId="026928E3">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5.《中国生物多样性保护战略与行动计划（2023—2030年）》（2024年）；</w:t>
      </w:r>
    </w:p>
    <w:p w14:paraId="7B9DCBAC">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6.《自然资源部 生态环境部 国家林业和草原局关于加强生态保护红线管理的通知（试行）》（2022年）；</w:t>
      </w:r>
    </w:p>
    <w:p w14:paraId="76E923C8">
      <w:pPr>
        <w:overflowPunct w:val="0"/>
        <w:spacing w:line="360" w:lineRule="auto"/>
        <w:ind w:firstLine="560" w:firstLineChars="200"/>
        <w:outlineLvl w:val="3"/>
        <w:rPr>
          <w:rFonts w:eastAsia="仿宋_GB2312"/>
          <w:spacing w:val="-11"/>
          <w:sz w:val="28"/>
          <w:szCs w:val="28"/>
        </w:rPr>
      </w:pPr>
      <w:r>
        <w:rPr>
          <w:rFonts w:eastAsia="仿宋_GB2312"/>
          <w:sz w:val="28"/>
          <w:szCs w:val="28"/>
        </w:rPr>
        <w:t>7.</w:t>
      </w:r>
      <w:r>
        <w:rPr>
          <w:rFonts w:eastAsia="仿宋_GB2312"/>
          <w:spacing w:val="-11"/>
          <w:sz w:val="28"/>
          <w:szCs w:val="28"/>
        </w:rPr>
        <w:t>《省政府关于印发江苏省国家级生态保护红线规划的通知》（2018年）；</w:t>
      </w:r>
    </w:p>
    <w:p w14:paraId="3147884D">
      <w:pPr>
        <w:overflowPunct w:val="0"/>
        <w:spacing w:line="360" w:lineRule="auto"/>
        <w:ind w:firstLine="560" w:firstLineChars="200"/>
        <w:outlineLvl w:val="3"/>
        <w:rPr>
          <w:rFonts w:eastAsia="仿宋_GB2312"/>
          <w:sz w:val="28"/>
          <w:szCs w:val="28"/>
        </w:rPr>
      </w:pPr>
      <w:r>
        <w:rPr>
          <w:rFonts w:eastAsia="仿宋_GB2312"/>
          <w:sz w:val="28"/>
          <w:szCs w:val="28"/>
        </w:rPr>
        <w:t>8.</w:t>
      </w:r>
      <w:r>
        <w:rPr>
          <w:rFonts w:eastAsia="仿宋_GB2312"/>
          <w:spacing w:val="-11"/>
          <w:sz w:val="28"/>
          <w:szCs w:val="28"/>
        </w:rPr>
        <w:t>《省政府关于印发江苏省生态空间管控区域规划的通知》（2020年）；</w:t>
      </w:r>
    </w:p>
    <w:p w14:paraId="20F5F7FB">
      <w:pPr>
        <w:overflowPunct w:val="0"/>
        <w:spacing w:line="360" w:lineRule="auto"/>
        <w:ind w:firstLine="560" w:firstLineChars="200"/>
        <w:outlineLvl w:val="3"/>
        <w:rPr>
          <w:rFonts w:eastAsia="仿宋_GB2312"/>
          <w:sz w:val="28"/>
          <w:szCs w:val="28"/>
        </w:rPr>
      </w:pPr>
      <w:r>
        <w:rPr>
          <w:rFonts w:eastAsia="仿宋_GB2312"/>
          <w:sz w:val="28"/>
          <w:szCs w:val="28"/>
        </w:rPr>
        <w:t>9.《省委办公厅 省政府办公厅印发关于进一步加强生物多样性保护实施意见的通知》</w:t>
      </w:r>
      <w:r>
        <w:rPr>
          <w:rFonts w:eastAsia="仿宋_GB2312"/>
          <w:spacing w:val="-6"/>
          <w:sz w:val="28"/>
          <w:szCs w:val="28"/>
        </w:rPr>
        <w:t>（</w:t>
      </w:r>
      <w:r>
        <w:rPr>
          <w:rFonts w:eastAsia="仿宋_GB2312"/>
          <w:sz w:val="28"/>
          <w:szCs w:val="28"/>
        </w:rPr>
        <w:t>2022年）；</w:t>
      </w:r>
    </w:p>
    <w:p w14:paraId="5467E823">
      <w:pPr>
        <w:overflowPunct w:val="0"/>
        <w:spacing w:line="360" w:lineRule="auto"/>
        <w:ind w:firstLine="560" w:firstLineChars="200"/>
        <w:outlineLvl w:val="3"/>
        <w:rPr>
          <w:rFonts w:eastAsia="仿宋_GB2312"/>
          <w:sz w:val="28"/>
          <w:szCs w:val="28"/>
        </w:rPr>
      </w:pPr>
      <w:r>
        <w:rPr>
          <w:rFonts w:eastAsia="仿宋_GB2312"/>
          <w:sz w:val="28"/>
          <w:szCs w:val="28"/>
        </w:rPr>
        <w:t>10.《中共江苏省委 江苏省人民政府关于全面推进美丽江苏建设的实施意见》（2024年）</w:t>
      </w:r>
    </w:p>
    <w:p w14:paraId="51A0CC50">
      <w:pPr>
        <w:overflowPunct w:val="0"/>
        <w:spacing w:line="360" w:lineRule="auto"/>
        <w:ind w:firstLine="560" w:firstLineChars="200"/>
        <w:outlineLvl w:val="3"/>
        <w:rPr>
          <w:rFonts w:eastAsia="仿宋_GB2312"/>
          <w:sz w:val="28"/>
          <w:szCs w:val="28"/>
        </w:rPr>
      </w:pPr>
      <w:r>
        <w:rPr>
          <w:rFonts w:eastAsia="仿宋_GB2312"/>
          <w:sz w:val="28"/>
          <w:szCs w:val="28"/>
        </w:rPr>
        <w:t>11.《江苏省生态空间管控区域调整管理办法》（2021年）；</w:t>
      </w:r>
    </w:p>
    <w:p w14:paraId="0286C0B0">
      <w:pPr>
        <w:overflowPunct w:val="0"/>
        <w:spacing w:line="360" w:lineRule="auto"/>
        <w:ind w:firstLine="560" w:firstLineChars="200"/>
        <w:outlineLvl w:val="3"/>
        <w:rPr>
          <w:rFonts w:eastAsia="仿宋_GB2312"/>
          <w:sz w:val="28"/>
          <w:szCs w:val="28"/>
        </w:rPr>
      </w:pPr>
      <w:r>
        <w:rPr>
          <w:rFonts w:eastAsia="仿宋_GB2312"/>
          <w:sz w:val="28"/>
          <w:szCs w:val="28"/>
        </w:rPr>
        <w:t>12.《江苏省生态空间管控区域监督管理办法》（2021年）；</w:t>
      </w:r>
    </w:p>
    <w:p w14:paraId="41E52926">
      <w:pPr>
        <w:overflowPunct w:val="0"/>
        <w:spacing w:line="360" w:lineRule="auto"/>
        <w:ind w:firstLine="560" w:firstLineChars="200"/>
        <w:outlineLvl w:val="3"/>
        <w:rPr>
          <w:rFonts w:eastAsia="仿宋_GB2312"/>
          <w:sz w:val="28"/>
          <w:szCs w:val="28"/>
        </w:rPr>
      </w:pPr>
      <w:r>
        <w:rPr>
          <w:rFonts w:eastAsia="仿宋_GB2312"/>
          <w:sz w:val="28"/>
          <w:szCs w:val="28"/>
        </w:rPr>
        <w:t>13.《江苏省“十四五”生态环境保护规划》（2021年）；</w:t>
      </w:r>
    </w:p>
    <w:p w14:paraId="68C6074F">
      <w:pPr>
        <w:overflowPunct w:val="0"/>
        <w:spacing w:line="360" w:lineRule="auto"/>
        <w:ind w:firstLine="560" w:firstLineChars="200"/>
        <w:outlineLvl w:val="3"/>
        <w:rPr>
          <w:rFonts w:eastAsia="仿宋_GB2312"/>
          <w:sz w:val="28"/>
          <w:szCs w:val="28"/>
        </w:rPr>
      </w:pPr>
      <w:r>
        <w:rPr>
          <w:rFonts w:eastAsia="仿宋_GB2312"/>
          <w:sz w:val="28"/>
          <w:szCs w:val="28"/>
        </w:rPr>
        <w:t>14.《江苏省“十四五”自然资源保护和利用规划》（2021年）；</w:t>
      </w:r>
    </w:p>
    <w:p w14:paraId="0105B64C">
      <w:pPr>
        <w:overflowPunct w:val="0"/>
        <w:spacing w:line="360" w:lineRule="auto"/>
        <w:ind w:firstLine="560" w:firstLineChars="200"/>
        <w:outlineLvl w:val="3"/>
        <w:rPr>
          <w:rFonts w:eastAsia="仿宋_GB2312"/>
          <w:sz w:val="28"/>
          <w:szCs w:val="28"/>
        </w:rPr>
      </w:pPr>
      <w:r>
        <w:rPr>
          <w:rFonts w:eastAsia="仿宋_GB2312"/>
          <w:sz w:val="28"/>
          <w:szCs w:val="28"/>
        </w:rPr>
        <w:t>15.《泰州市“十四五”生态环境保护规划》（2021年）；</w:t>
      </w:r>
    </w:p>
    <w:p w14:paraId="49351C26">
      <w:pPr>
        <w:overflowPunct w:val="0"/>
        <w:spacing w:line="360" w:lineRule="auto"/>
        <w:ind w:firstLine="584" w:firstLineChars="200"/>
        <w:outlineLvl w:val="3"/>
        <w:rPr>
          <w:rFonts w:eastAsia="仿宋_GB2312"/>
          <w:sz w:val="28"/>
          <w:szCs w:val="28"/>
        </w:rPr>
      </w:pPr>
      <w:r>
        <w:rPr>
          <w:rFonts w:eastAsia="仿宋_GB2312"/>
          <w:spacing w:val="6"/>
          <w:sz w:val="28"/>
          <w:szCs w:val="28"/>
        </w:rPr>
        <w:t>16.</w:t>
      </w:r>
      <w:r>
        <w:rPr>
          <w:rFonts w:eastAsia="仿宋_GB2312"/>
          <w:sz w:val="28"/>
          <w:szCs w:val="28"/>
        </w:rPr>
        <w:t>《</w:t>
      </w:r>
      <w:r>
        <w:rPr>
          <w:rFonts w:eastAsia="仿宋_GB2312"/>
          <w:spacing w:val="6"/>
          <w:sz w:val="28"/>
          <w:szCs w:val="28"/>
        </w:rPr>
        <w:t>泰州市</w:t>
      </w:r>
      <w:r>
        <w:rPr>
          <w:rFonts w:eastAsia="仿宋_GB2312"/>
          <w:sz w:val="28"/>
          <w:szCs w:val="28"/>
        </w:rPr>
        <w:t>“十四五”林业发展规划》（2021年）；</w:t>
      </w:r>
    </w:p>
    <w:p w14:paraId="63D0A47F">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17.《泰州市长江保护修复攻坚战行动计划实施方案》（2019年）；</w:t>
      </w:r>
    </w:p>
    <w:p w14:paraId="2825C19E">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18.《泰州市“三线一单”生态环境分区管控实施方案》（2021年）；</w:t>
      </w:r>
    </w:p>
    <w:p w14:paraId="0DCD2076">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19.《靖江市“十四五”生态环境保护规划》（2022年）；</w:t>
      </w:r>
    </w:p>
    <w:p w14:paraId="48612F7D">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20.《靖江市生态宜居建设规划（2020—2035年）》（2020年）；</w:t>
      </w:r>
    </w:p>
    <w:p w14:paraId="46731779">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21.《靖江市生态文明建设规划（2021—2025年）》（2022年）；</w:t>
      </w:r>
    </w:p>
    <w:p w14:paraId="7DAB86F8">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22.《靖江市国土空间总体规划（2021—2035年）》（2023年）；</w:t>
      </w:r>
    </w:p>
    <w:p w14:paraId="1C2C9ED2">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23.《靖江市国土空间生态保护和修复规划（2021—2035年）》（2024年）；</w:t>
      </w:r>
    </w:p>
    <w:p w14:paraId="641E6A7C">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24.《靖江市生态空间管控区域调整方案》（2021年）；</w:t>
      </w:r>
    </w:p>
    <w:p w14:paraId="4DADFE4B">
      <w:pPr>
        <w:overflowPunct w:val="0"/>
        <w:spacing w:line="360" w:lineRule="auto"/>
        <w:ind w:firstLine="584" w:firstLineChars="200"/>
        <w:outlineLvl w:val="3"/>
        <w:rPr>
          <w:rFonts w:eastAsia="仿宋_GB2312"/>
          <w:spacing w:val="6"/>
          <w:sz w:val="28"/>
          <w:szCs w:val="28"/>
        </w:rPr>
      </w:pPr>
      <w:r>
        <w:rPr>
          <w:rFonts w:eastAsia="仿宋_GB2312"/>
          <w:spacing w:val="6"/>
          <w:sz w:val="28"/>
          <w:szCs w:val="28"/>
        </w:rPr>
        <w:t>25.《靖江市生态空间管控区域监督管理实施办法》（2023年）。</w:t>
      </w:r>
    </w:p>
    <w:p w14:paraId="0293D9E9">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38" w:name="_Toc124098021"/>
      <w:bookmarkStart w:id="39" w:name="_Toc19320"/>
      <w:bookmarkStart w:id="40" w:name="_Toc32759"/>
      <w:r>
        <w:rPr>
          <w:rFonts w:eastAsia="仿宋_GB2312"/>
          <w:b/>
          <w:bCs/>
          <w:kern w:val="2"/>
          <w:sz w:val="28"/>
          <w:szCs w:val="28"/>
        </w:rPr>
        <w:t xml:space="preserve">3.4 </w:t>
      </w:r>
      <w:bookmarkEnd w:id="38"/>
      <w:r>
        <w:rPr>
          <w:rFonts w:eastAsia="仿宋_GB2312"/>
          <w:b/>
          <w:bCs/>
          <w:kern w:val="2"/>
          <w:sz w:val="28"/>
          <w:szCs w:val="28"/>
        </w:rPr>
        <w:t>规划范围及期限</w:t>
      </w:r>
      <w:bookmarkEnd w:id="39"/>
      <w:bookmarkEnd w:id="40"/>
    </w:p>
    <w:p w14:paraId="0B359147">
      <w:pPr>
        <w:pStyle w:val="22"/>
        <w:spacing w:line="360" w:lineRule="auto"/>
        <w:ind w:firstLine="560"/>
        <w:jc w:val="both"/>
        <w:rPr>
          <w:rFonts w:eastAsia="仿宋_GB2312"/>
          <w:sz w:val="28"/>
          <w:szCs w:val="28"/>
        </w:rPr>
      </w:pPr>
      <w:r>
        <w:rPr>
          <w:rFonts w:eastAsia="仿宋_GB2312"/>
          <w:sz w:val="28"/>
          <w:szCs w:val="28"/>
        </w:rPr>
        <w:t>规划范围为靖江市全域，总面积655.59平方公里。</w:t>
      </w:r>
    </w:p>
    <w:p w14:paraId="12A13023">
      <w:pPr>
        <w:pStyle w:val="22"/>
        <w:spacing w:line="360" w:lineRule="auto"/>
        <w:ind w:firstLine="560"/>
        <w:jc w:val="both"/>
        <w:rPr>
          <w:rFonts w:eastAsia="仿宋_GB2312"/>
          <w:sz w:val="28"/>
          <w:szCs w:val="28"/>
        </w:rPr>
      </w:pPr>
      <w:r>
        <w:rPr>
          <w:rFonts w:eastAsia="仿宋_GB2312"/>
          <w:sz w:val="28"/>
          <w:szCs w:val="28"/>
        </w:rPr>
        <w:t>规划期为2024—2035年，规划基准年为2023年，规划近期至2030年，规划远期至2035年。</w:t>
      </w:r>
    </w:p>
    <w:p w14:paraId="5E49E131">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41" w:name="_Toc124098025"/>
      <w:bookmarkStart w:id="42" w:name="_Toc10905"/>
      <w:bookmarkStart w:id="43" w:name="_Toc21661"/>
      <w:r>
        <w:rPr>
          <w:rFonts w:eastAsia="仿宋_GB2312"/>
          <w:b/>
          <w:bCs/>
          <w:kern w:val="2"/>
          <w:sz w:val="28"/>
          <w:szCs w:val="28"/>
        </w:rPr>
        <w:t xml:space="preserve">3.5 </w:t>
      </w:r>
      <w:bookmarkEnd w:id="41"/>
      <w:r>
        <w:rPr>
          <w:rFonts w:eastAsia="仿宋_GB2312"/>
          <w:b/>
          <w:bCs/>
          <w:kern w:val="2"/>
          <w:sz w:val="28"/>
          <w:szCs w:val="28"/>
        </w:rPr>
        <w:t>规划目标</w:t>
      </w:r>
      <w:bookmarkEnd w:id="42"/>
      <w:bookmarkEnd w:id="43"/>
    </w:p>
    <w:p w14:paraId="2EDAE09B">
      <w:pPr>
        <w:pStyle w:val="22"/>
        <w:spacing w:line="360" w:lineRule="auto"/>
        <w:ind w:firstLine="560"/>
        <w:jc w:val="both"/>
        <w:rPr>
          <w:rFonts w:eastAsia="仿宋_GB2312"/>
          <w:sz w:val="28"/>
          <w:szCs w:val="28"/>
        </w:rPr>
      </w:pPr>
      <w:r>
        <w:rPr>
          <w:rFonts w:eastAsia="仿宋_GB2312"/>
          <w:sz w:val="28"/>
          <w:szCs w:val="28"/>
        </w:rPr>
        <w:t>到2030年，全市生物多样性保护取得显著成效，生物多样性主流化水平逐步提高，生态质量明显改善，生态系统保护与修复持续推进，生物物种及其栖息地得到有效保护，扎实筑牢生态安全屏障，社会公众参与生物多样性保护积极性显著提高。</w:t>
      </w:r>
    </w:p>
    <w:p w14:paraId="78191509">
      <w:pPr>
        <w:pStyle w:val="22"/>
        <w:spacing w:line="360" w:lineRule="auto"/>
        <w:ind w:firstLine="560"/>
        <w:jc w:val="both"/>
        <w:rPr>
          <w:rFonts w:eastAsia="仿宋_GB2312"/>
          <w:sz w:val="28"/>
          <w:szCs w:val="28"/>
        </w:rPr>
      </w:pPr>
      <w:r>
        <w:rPr>
          <w:rFonts w:eastAsia="仿宋_GB2312"/>
          <w:sz w:val="28"/>
          <w:szCs w:val="28"/>
        </w:rPr>
        <w:t>——生态系统保护修复持续推进。山水林田湖草沙一体化保护修复系统推进，长江沿岸湿地及江心洲重要湿地得到有效保护修复，以长江江豚为代表的水生生物栖息地得到有效保护，马洲岛高潮位鸟类栖息地基本建成，高标准农田比重持续增加，高标准农田林网建设有序推进，清洁流通、生物多样的农村河网水系有效构建，基本形成稳定的生物多样性保护空间布局。</w:t>
      </w:r>
    </w:p>
    <w:p w14:paraId="78BA5E12">
      <w:pPr>
        <w:pStyle w:val="22"/>
        <w:spacing w:line="360" w:lineRule="auto"/>
        <w:ind w:firstLine="560"/>
        <w:jc w:val="both"/>
        <w:rPr>
          <w:rFonts w:eastAsia="仿宋_GB2312"/>
          <w:sz w:val="28"/>
          <w:szCs w:val="28"/>
        </w:rPr>
      </w:pPr>
      <w:r>
        <w:rPr>
          <w:rFonts w:eastAsia="仿宋_GB2312"/>
          <w:sz w:val="28"/>
          <w:szCs w:val="28"/>
        </w:rPr>
        <w:t>——生物多样性监测体系不断健全。建成马洲岛生物多样性观测站、生物多样性智慧监测体系和长江江豚立体式监测体系并开展常规监测，全域生物多样性本底调查与评估按期推进，生物多样性调查监测与评估成果定期发布，</w:t>
      </w:r>
      <w:r>
        <w:rPr>
          <w:rFonts w:hint="eastAsia" w:eastAsia="仿宋_GB2312"/>
          <w:sz w:val="28"/>
          <w:szCs w:val="28"/>
        </w:rPr>
        <w:t>生物多样性</w:t>
      </w:r>
      <w:r>
        <w:rPr>
          <w:rFonts w:eastAsia="仿宋_GB2312"/>
          <w:sz w:val="28"/>
          <w:szCs w:val="28"/>
        </w:rPr>
        <w:t>监测能力显著提升。</w:t>
      </w:r>
    </w:p>
    <w:p w14:paraId="6397EF47">
      <w:pPr>
        <w:spacing w:line="360" w:lineRule="auto"/>
        <w:ind w:firstLine="480"/>
        <w:jc w:val="both"/>
        <w:rPr>
          <w:rFonts w:eastAsia="仿宋_GB2312"/>
          <w:sz w:val="28"/>
          <w:szCs w:val="28"/>
        </w:rPr>
      </w:pPr>
      <w:r>
        <w:rPr>
          <w:rFonts w:eastAsia="仿宋_GB2312"/>
          <w:sz w:val="28"/>
          <w:szCs w:val="28"/>
        </w:rPr>
        <w:t>——重要物种及种质资源得到有效保护。长江江豚</w:t>
      </w:r>
      <w:r>
        <w:rPr>
          <w:rFonts w:hint="eastAsia" w:eastAsia="仿宋_GB2312"/>
          <w:sz w:val="28"/>
          <w:szCs w:val="28"/>
        </w:rPr>
        <w:t>和珍稀鸟类</w:t>
      </w:r>
      <w:r>
        <w:rPr>
          <w:rFonts w:eastAsia="仿宋_GB2312"/>
          <w:sz w:val="28"/>
          <w:szCs w:val="28"/>
        </w:rPr>
        <w:t>种群数量</w:t>
      </w:r>
      <w:r>
        <w:rPr>
          <w:rFonts w:hint="eastAsia" w:eastAsia="仿宋_GB2312"/>
          <w:sz w:val="28"/>
          <w:szCs w:val="28"/>
        </w:rPr>
        <w:t>稳中有升</w:t>
      </w:r>
      <w:r>
        <w:rPr>
          <w:rFonts w:eastAsia="仿宋_GB2312"/>
          <w:sz w:val="28"/>
          <w:szCs w:val="28"/>
        </w:rPr>
        <w:t>，长江水生生物资源不断丰富，外来物种入侵趋势得到有效遏制，靖江香沙芋、中华绒螯蟹、鳜鱼等种质资源得到有效保护和可持续利用。</w:t>
      </w:r>
    </w:p>
    <w:p w14:paraId="25F9308A">
      <w:pPr>
        <w:pStyle w:val="22"/>
        <w:spacing w:line="360" w:lineRule="auto"/>
        <w:ind w:firstLine="560"/>
        <w:jc w:val="both"/>
        <w:rPr>
          <w:rFonts w:eastAsia="仿宋_GB2312"/>
          <w:sz w:val="28"/>
          <w:szCs w:val="28"/>
        </w:rPr>
      </w:pPr>
      <w:r>
        <w:rPr>
          <w:rFonts w:eastAsia="仿宋_GB2312"/>
          <w:sz w:val="28"/>
          <w:szCs w:val="28"/>
        </w:rPr>
        <w:t>——生态系统服务功能显著提升。河湖生态系统完整性和生态服务功能显著提升，森林、草地、农田、湿地碳汇得到增强，湿地保护率达到66.5%，耕地保有量不减少，城市绿地系统有序完善，绿色优质农产品比重稳定增加，优质的生态产品基本满足公众需求。</w:t>
      </w:r>
    </w:p>
    <w:p w14:paraId="48EA1749">
      <w:pPr>
        <w:pStyle w:val="22"/>
        <w:spacing w:line="360" w:lineRule="auto"/>
        <w:ind w:firstLine="560"/>
        <w:jc w:val="both"/>
        <w:rPr>
          <w:rFonts w:eastAsia="仿宋_GB2312"/>
          <w:sz w:val="28"/>
          <w:szCs w:val="28"/>
        </w:rPr>
      </w:pPr>
      <w:r>
        <w:rPr>
          <w:rFonts w:eastAsia="仿宋_GB2312"/>
          <w:sz w:val="28"/>
          <w:szCs w:val="28"/>
        </w:rPr>
        <w:t>到2035年，生态质量不断改善，生态系统的多样性、稳定性、持续性有效提升，生物物种及其栖息地得到全面保护，生物多样性保护政策、制度、标准和监测体系全面完善，保护生物多样性成为全社会的自觉行动，形成人与自然和谐共生的美丽画卷。</w:t>
      </w:r>
    </w:p>
    <w:p w14:paraId="46B98C94">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44" w:name="_Toc9292"/>
      <w:bookmarkStart w:id="45" w:name="_Toc1049"/>
      <w:r>
        <w:rPr>
          <w:rFonts w:eastAsia="仿宋_GB2312"/>
          <w:b/>
          <w:bCs/>
          <w:kern w:val="2"/>
          <w:sz w:val="28"/>
          <w:szCs w:val="28"/>
        </w:rPr>
        <w:t>3.6 指标体系</w:t>
      </w:r>
      <w:bookmarkEnd w:id="44"/>
      <w:bookmarkEnd w:id="45"/>
    </w:p>
    <w:p w14:paraId="741C2114">
      <w:pPr>
        <w:pStyle w:val="22"/>
        <w:spacing w:after="156" w:afterLines="50" w:line="360" w:lineRule="auto"/>
        <w:ind w:firstLine="560"/>
        <w:jc w:val="both"/>
        <w:rPr>
          <w:rFonts w:eastAsia="仿宋_GB2312"/>
          <w:sz w:val="28"/>
          <w:szCs w:val="28"/>
        </w:rPr>
        <w:sectPr>
          <w:pgSz w:w="11906" w:h="16838"/>
          <w:pgMar w:top="1440" w:right="1800" w:bottom="1440" w:left="1800" w:header="851" w:footer="992" w:gutter="0"/>
          <w:cols w:space="425" w:num="1"/>
          <w:docGrid w:type="lines" w:linePitch="312" w:charSpace="0"/>
        </w:sectPr>
      </w:pPr>
      <w:r>
        <w:rPr>
          <w:rFonts w:eastAsia="仿宋_GB2312"/>
          <w:sz w:val="28"/>
          <w:szCs w:val="28"/>
        </w:rPr>
        <w:t>靖江市生物多样性保护主要指标包括生态系统保护状况、生物物种保护状况、生物多样性观测能力、生物多样性可持续利用水平4大类16个指标，其中约束性指标8项，预期性指标8项。</w:t>
      </w:r>
    </w:p>
    <w:p w14:paraId="222A47DC">
      <w:pPr>
        <w:pStyle w:val="22"/>
        <w:spacing w:after="156" w:afterLines="50" w:line="360" w:lineRule="auto"/>
        <w:ind w:firstLine="0" w:firstLineChars="0"/>
        <w:jc w:val="center"/>
        <w:rPr>
          <w:rFonts w:eastAsia="仿宋_GB2312"/>
          <w:sz w:val="28"/>
          <w:szCs w:val="28"/>
        </w:rPr>
      </w:pPr>
      <w:r>
        <w:rPr>
          <w:rFonts w:eastAsia="仿宋_GB2312"/>
          <w:sz w:val="28"/>
          <w:szCs w:val="28"/>
        </w:rPr>
        <w:t>表3-1 靖江市生物多样性保护指标体系</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565"/>
        <w:gridCol w:w="847"/>
        <w:gridCol w:w="1893"/>
        <w:gridCol w:w="720"/>
        <w:gridCol w:w="1179"/>
        <w:gridCol w:w="1454"/>
        <w:gridCol w:w="1559"/>
        <w:gridCol w:w="847"/>
        <w:gridCol w:w="1407"/>
        <w:gridCol w:w="3050"/>
      </w:tblGrid>
      <w:tr w14:paraId="3714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9" w:type="pct"/>
            <w:shd w:val="clear" w:color="auto" w:fill="FFFFFF"/>
            <w:tcMar>
              <w:left w:w="51" w:type="dxa"/>
              <w:right w:w="51" w:type="dxa"/>
            </w:tcMar>
            <w:vAlign w:val="center"/>
          </w:tcPr>
          <w:p w14:paraId="482C026C">
            <w:pPr>
              <w:overflowPunct w:val="0"/>
              <w:spacing w:line="280" w:lineRule="exact"/>
              <w:jc w:val="center"/>
              <w:rPr>
                <w:rFonts w:eastAsia="仿宋_GB2312"/>
                <w:b/>
                <w:bCs/>
              </w:rPr>
            </w:pPr>
            <w:r>
              <w:rPr>
                <w:rFonts w:eastAsia="仿宋_GB2312"/>
                <w:b/>
                <w:bCs/>
              </w:rPr>
              <w:t>类别</w:t>
            </w:r>
          </w:p>
        </w:tc>
        <w:tc>
          <w:tcPr>
            <w:tcW w:w="201" w:type="pct"/>
            <w:shd w:val="clear" w:color="auto" w:fill="FFFFFF"/>
            <w:tcMar>
              <w:left w:w="51" w:type="dxa"/>
              <w:right w:w="51" w:type="dxa"/>
            </w:tcMar>
            <w:vAlign w:val="center"/>
          </w:tcPr>
          <w:p w14:paraId="2478ECB2">
            <w:pPr>
              <w:overflowPunct w:val="0"/>
              <w:spacing w:line="280" w:lineRule="exact"/>
              <w:jc w:val="center"/>
              <w:rPr>
                <w:rFonts w:eastAsia="仿宋_GB2312"/>
                <w:b/>
                <w:bCs/>
              </w:rPr>
            </w:pPr>
            <w:r>
              <w:rPr>
                <w:rFonts w:eastAsia="仿宋_GB2312"/>
                <w:b/>
                <w:bCs/>
              </w:rPr>
              <w:t>序号</w:t>
            </w:r>
          </w:p>
        </w:tc>
        <w:tc>
          <w:tcPr>
            <w:tcW w:w="974" w:type="pct"/>
            <w:gridSpan w:val="2"/>
            <w:shd w:val="clear" w:color="auto" w:fill="FFFFFF"/>
            <w:tcMar>
              <w:left w:w="51" w:type="dxa"/>
              <w:right w:w="51" w:type="dxa"/>
            </w:tcMar>
            <w:vAlign w:val="center"/>
          </w:tcPr>
          <w:p w14:paraId="4343ACD4">
            <w:pPr>
              <w:overflowPunct w:val="0"/>
              <w:spacing w:line="280" w:lineRule="exact"/>
              <w:jc w:val="center"/>
              <w:rPr>
                <w:rFonts w:eastAsia="仿宋_GB2312"/>
                <w:b/>
                <w:bCs/>
              </w:rPr>
            </w:pPr>
            <w:r>
              <w:rPr>
                <w:rFonts w:eastAsia="仿宋_GB2312"/>
                <w:b/>
                <w:bCs/>
              </w:rPr>
              <w:t>指标名称</w:t>
            </w:r>
          </w:p>
        </w:tc>
        <w:tc>
          <w:tcPr>
            <w:tcW w:w="256" w:type="pct"/>
            <w:shd w:val="clear" w:color="auto" w:fill="FFFFFF"/>
            <w:tcMar>
              <w:left w:w="51" w:type="dxa"/>
              <w:right w:w="51" w:type="dxa"/>
            </w:tcMar>
            <w:vAlign w:val="center"/>
          </w:tcPr>
          <w:p w14:paraId="5F0A0022">
            <w:pPr>
              <w:overflowPunct w:val="0"/>
              <w:spacing w:line="280" w:lineRule="exact"/>
              <w:jc w:val="center"/>
              <w:rPr>
                <w:rFonts w:eastAsia="仿宋_GB2312"/>
                <w:b/>
                <w:bCs/>
              </w:rPr>
            </w:pPr>
            <w:r>
              <w:rPr>
                <w:rFonts w:eastAsia="仿宋_GB2312"/>
                <w:b/>
                <w:bCs/>
              </w:rPr>
              <w:t>单位</w:t>
            </w:r>
          </w:p>
        </w:tc>
        <w:tc>
          <w:tcPr>
            <w:tcW w:w="419" w:type="pct"/>
            <w:shd w:val="clear" w:color="auto" w:fill="FFFFFF"/>
            <w:tcMar>
              <w:left w:w="51" w:type="dxa"/>
              <w:right w:w="51" w:type="dxa"/>
            </w:tcMar>
            <w:vAlign w:val="center"/>
          </w:tcPr>
          <w:p w14:paraId="74F1F758">
            <w:pPr>
              <w:overflowPunct w:val="0"/>
              <w:spacing w:line="280" w:lineRule="exact"/>
              <w:jc w:val="center"/>
              <w:rPr>
                <w:rFonts w:eastAsia="仿宋_GB2312"/>
                <w:b/>
                <w:bCs/>
              </w:rPr>
            </w:pPr>
            <w:r>
              <w:rPr>
                <w:rFonts w:eastAsia="仿宋_GB2312"/>
                <w:b/>
                <w:bCs/>
              </w:rPr>
              <w:t>基准值</w:t>
            </w:r>
          </w:p>
        </w:tc>
        <w:tc>
          <w:tcPr>
            <w:tcW w:w="517" w:type="pct"/>
            <w:shd w:val="clear" w:color="auto" w:fill="FFFFFF"/>
            <w:tcMar>
              <w:left w:w="51" w:type="dxa"/>
              <w:right w:w="51" w:type="dxa"/>
            </w:tcMar>
            <w:vAlign w:val="center"/>
          </w:tcPr>
          <w:p w14:paraId="17F929DD">
            <w:pPr>
              <w:overflowPunct w:val="0"/>
              <w:spacing w:line="280" w:lineRule="exact"/>
              <w:jc w:val="center"/>
              <w:rPr>
                <w:rFonts w:eastAsia="仿宋_GB2312"/>
                <w:b/>
                <w:bCs/>
              </w:rPr>
            </w:pPr>
            <w:r>
              <w:rPr>
                <w:rFonts w:eastAsia="仿宋_GB2312"/>
                <w:b/>
                <w:bCs/>
              </w:rPr>
              <w:t>2030年</w:t>
            </w:r>
          </w:p>
          <w:p w14:paraId="677A3318">
            <w:pPr>
              <w:overflowPunct w:val="0"/>
              <w:spacing w:line="280" w:lineRule="exact"/>
              <w:jc w:val="center"/>
              <w:rPr>
                <w:rFonts w:eastAsia="仿宋_GB2312"/>
                <w:b/>
                <w:bCs/>
              </w:rPr>
            </w:pPr>
            <w:r>
              <w:rPr>
                <w:rFonts w:eastAsia="仿宋_GB2312"/>
                <w:b/>
                <w:bCs/>
              </w:rPr>
              <w:t>目标</w:t>
            </w:r>
          </w:p>
        </w:tc>
        <w:tc>
          <w:tcPr>
            <w:tcW w:w="554" w:type="pct"/>
            <w:shd w:val="clear" w:color="auto" w:fill="FFFFFF"/>
            <w:tcMar>
              <w:left w:w="51" w:type="dxa"/>
              <w:right w:w="51" w:type="dxa"/>
            </w:tcMar>
            <w:vAlign w:val="center"/>
          </w:tcPr>
          <w:p w14:paraId="62B09D82">
            <w:pPr>
              <w:overflowPunct w:val="0"/>
              <w:spacing w:line="280" w:lineRule="exact"/>
              <w:jc w:val="center"/>
              <w:rPr>
                <w:rFonts w:eastAsia="仿宋_GB2312"/>
                <w:b/>
                <w:bCs/>
              </w:rPr>
            </w:pPr>
            <w:r>
              <w:rPr>
                <w:rFonts w:eastAsia="仿宋_GB2312"/>
                <w:b/>
                <w:bCs/>
              </w:rPr>
              <w:t>2035年</w:t>
            </w:r>
          </w:p>
          <w:p w14:paraId="3DB8422F">
            <w:pPr>
              <w:overflowPunct w:val="0"/>
              <w:spacing w:line="280" w:lineRule="exact"/>
              <w:jc w:val="center"/>
              <w:rPr>
                <w:rFonts w:eastAsia="仿宋_GB2312"/>
                <w:b/>
                <w:bCs/>
              </w:rPr>
            </w:pPr>
            <w:r>
              <w:rPr>
                <w:rFonts w:eastAsia="仿宋_GB2312"/>
                <w:b/>
                <w:bCs/>
              </w:rPr>
              <w:t>目标</w:t>
            </w:r>
          </w:p>
        </w:tc>
        <w:tc>
          <w:tcPr>
            <w:tcW w:w="301" w:type="pct"/>
            <w:shd w:val="clear" w:color="auto" w:fill="FFFFFF"/>
            <w:tcMar>
              <w:left w:w="51" w:type="dxa"/>
              <w:right w:w="51" w:type="dxa"/>
            </w:tcMar>
            <w:vAlign w:val="center"/>
          </w:tcPr>
          <w:p w14:paraId="14F8C4A9">
            <w:pPr>
              <w:overflowPunct w:val="0"/>
              <w:spacing w:line="280" w:lineRule="exact"/>
              <w:jc w:val="center"/>
              <w:rPr>
                <w:rFonts w:eastAsia="仿宋_GB2312"/>
                <w:b/>
                <w:bCs/>
              </w:rPr>
            </w:pPr>
            <w:r>
              <w:rPr>
                <w:rFonts w:eastAsia="仿宋_GB2312"/>
                <w:b/>
                <w:bCs/>
              </w:rPr>
              <w:t>属性</w:t>
            </w:r>
          </w:p>
        </w:tc>
        <w:tc>
          <w:tcPr>
            <w:tcW w:w="500" w:type="pct"/>
            <w:shd w:val="clear" w:color="auto" w:fill="FFFFFF"/>
            <w:tcMar>
              <w:top w:w="0" w:type="dxa"/>
              <w:left w:w="51" w:type="dxa"/>
              <w:bottom w:w="0" w:type="dxa"/>
              <w:right w:w="51" w:type="dxa"/>
            </w:tcMar>
            <w:vAlign w:val="center"/>
          </w:tcPr>
          <w:p w14:paraId="77D248D2">
            <w:pPr>
              <w:overflowPunct w:val="0"/>
              <w:spacing w:line="280" w:lineRule="exact"/>
              <w:jc w:val="center"/>
              <w:rPr>
                <w:rFonts w:eastAsia="仿宋_GB2312"/>
                <w:b/>
                <w:bCs/>
              </w:rPr>
            </w:pPr>
            <w:r>
              <w:rPr>
                <w:rFonts w:eastAsia="仿宋_GB2312"/>
                <w:b/>
                <w:bCs/>
              </w:rPr>
              <w:t>牵头部门</w:t>
            </w:r>
          </w:p>
        </w:tc>
        <w:tc>
          <w:tcPr>
            <w:tcW w:w="1084" w:type="pct"/>
            <w:shd w:val="clear" w:color="auto" w:fill="FFFFFF"/>
            <w:tcMar>
              <w:top w:w="0" w:type="dxa"/>
              <w:left w:w="51" w:type="dxa"/>
              <w:bottom w:w="0" w:type="dxa"/>
              <w:right w:w="51" w:type="dxa"/>
            </w:tcMar>
            <w:vAlign w:val="center"/>
          </w:tcPr>
          <w:p w14:paraId="289D1004">
            <w:pPr>
              <w:overflowPunct w:val="0"/>
              <w:spacing w:line="280" w:lineRule="exact"/>
              <w:jc w:val="center"/>
              <w:rPr>
                <w:rFonts w:eastAsia="仿宋_GB2312"/>
                <w:b/>
                <w:bCs/>
              </w:rPr>
            </w:pPr>
            <w:r>
              <w:rPr>
                <w:rFonts w:eastAsia="仿宋_GB2312"/>
                <w:b/>
                <w:bCs/>
              </w:rPr>
              <w:t>数据来源</w:t>
            </w:r>
          </w:p>
        </w:tc>
      </w:tr>
      <w:tr w14:paraId="7666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restart"/>
            <w:tcMar>
              <w:left w:w="51" w:type="dxa"/>
              <w:right w:w="51" w:type="dxa"/>
            </w:tcMar>
            <w:vAlign w:val="center"/>
          </w:tcPr>
          <w:p w14:paraId="06BCEB0A">
            <w:pPr>
              <w:overflowPunct w:val="0"/>
              <w:spacing w:line="280" w:lineRule="exact"/>
              <w:jc w:val="center"/>
              <w:rPr>
                <w:rFonts w:eastAsia="仿宋_GB2312"/>
              </w:rPr>
            </w:pPr>
            <w:r>
              <w:rPr>
                <w:rFonts w:eastAsia="仿宋_GB2312"/>
              </w:rPr>
              <w:t>生态系统保护状况</w:t>
            </w:r>
          </w:p>
        </w:tc>
        <w:tc>
          <w:tcPr>
            <w:tcW w:w="201" w:type="pct"/>
            <w:tcMar>
              <w:left w:w="51" w:type="dxa"/>
              <w:right w:w="51" w:type="dxa"/>
            </w:tcMar>
            <w:vAlign w:val="center"/>
          </w:tcPr>
          <w:p w14:paraId="0B299679">
            <w:pPr>
              <w:overflowPunct w:val="0"/>
              <w:spacing w:line="280" w:lineRule="exact"/>
              <w:jc w:val="center"/>
              <w:rPr>
                <w:rFonts w:eastAsia="仿宋_GB2312"/>
              </w:rPr>
            </w:pPr>
            <w:r>
              <w:rPr>
                <w:rFonts w:eastAsia="仿宋_GB2312"/>
              </w:rPr>
              <w:t>1</w:t>
            </w:r>
          </w:p>
        </w:tc>
        <w:tc>
          <w:tcPr>
            <w:tcW w:w="301" w:type="pct"/>
            <w:vMerge w:val="restart"/>
            <w:tcMar>
              <w:left w:w="51" w:type="dxa"/>
              <w:right w:w="51" w:type="dxa"/>
            </w:tcMar>
            <w:vAlign w:val="center"/>
          </w:tcPr>
          <w:p w14:paraId="7DC9A46F">
            <w:pPr>
              <w:overflowPunct w:val="0"/>
              <w:spacing w:line="280" w:lineRule="exact"/>
              <w:jc w:val="center"/>
              <w:rPr>
                <w:rFonts w:eastAsia="仿宋_GB2312"/>
              </w:rPr>
            </w:pPr>
            <w:r>
              <w:rPr>
                <w:rFonts w:eastAsia="仿宋_GB2312"/>
              </w:rPr>
              <w:t>生态空间保护区域占比</w:t>
            </w:r>
          </w:p>
        </w:tc>
        <w:tc>
          <w:tcPr>
            <w:tcW w:w="672" w:type="pct"/>
            <w:tcMar>
              <w:left w:w="51" w:type="dxa"/>
              <w:right w:w="51" w:type="dxa"/>
            </w:tcMar>
            <w:vAlign w:val="center"/>
          </w:tcPr>
          <w:p w14:paraId="795347E8">
            <w:pPr>
              <w:overflowPunct w:val="0"/>
              <w:spacing w:line="280" w:lineRule="exact"/>
              <w:jc w:val="center"/>
              <w:rPr>
                <w:rFonts w:eastAsia="仿宋_GB2312"/>
              </w:rPr>
            </w:pPr>
            <w:r>
              <w:rPr>
                <w:rFonts w:eastAsia="仿宋_GB2312"/>
              </w:rPr>
              <w:t>国家级生态保护红线占全市国土面积比例</w:t>
            </w:r>
          </w:p>
        </w:tc>
        <w:tc>
          <w:tcPr>
            <w:tcW w:w="256" w:type="pct"/>
            <w:tcMar>
              <w:left w:w="51" w:type="dxa"/>
              <w:right w:w="51" w:type="dxa"/>
            </w:tcMar>
            <w:vAlign w:val="center"/>
          </w:tcPr>
          <w:p w14:paraId="197555BF">
            <w:pPr>
              <w:overflowPunct w:val="0"/>
              <w:spacing w:line="280" w:lineRule="exact"/>
              <w:jc w:val="center"/>
              <w:rPr>
                <w:rFonts w:eastAsia="仿宋_GB2312"/>
              </w:rPr>
            </w:pPr>
            <w:r>
              <w:rPr>
                <w:rFonts w:eastAsia="仿宋_GB2312"/>
              </w:rPr>
              <w:t>%</w:t>
            </w:r>
          </w:p>
        </w:tc>
        <w:tc>
          <w:tcPr>
            <w:tcW w:w="419" w:type="pct"/>
            <w:tcMar>
              <w:left w:w="51" w:type="dxa"/>
              <w:right w:w="51" w:type="dxa"/>
            </w:tcMar>
            <w:vAlign w:val="center"/>
          </w:tcPr>
          <w:p w14:paraId="382CE345">
            <w:pPr>
              <w:overflowPunct w:val="0"/>
              <w:spacing w:line="280" w:lineRule="exact"/>
              <w:jc w:val="center"/>
              <w:rPr>
                <w:rFonts w:eastAsia="仿宋_GB2312"/>
              </w:rPr>
            </w:pPr>
            <w:r>
              <w:rPr>
                <w:rFonts w:eastAsia="仿宋_GB2312"/>
              </w:rPr>
              <w:t>2.19</w:t>
            </w:r>
          </w:p>
        </w:tc>
        <w:tc>
          <w:tcPr>
            <w:tcW w:w="517" w:type="pct"/>
            <w:vMerge w:val="restart"/>
            <w:tcMar>
              <w:left w:w="51" w:type="dxa"/>
              <w:right w:w="51" w:type="dxa"/>
            </w:tcMar>
            <w:vAlign w:val="center"/>
          </w:tcPr>
          <w:p w14:paraId="20FC69C3">
            <w:pPr>
              <w:overflowPunct w:val="0"/>
              <w:spacing w:line="280" w:lineRule="exact"/>
              <w:jc w:val="center"/>
              <w:rPr>
                <w:rFonts w:eastAsia="仿宋_GB2312"/>
              </w:rPr>
            </w:pPr>
            <w:r>
              <w:rPr>
                <w:rFonts w:eastAsia="仿宋_GB2312"/>
              </w:rPr>
              <w:t>面积不减少，性质不改变，功能不降低</w:t>
            </w:r>
          </w:p>
        </w:tc>
        <w:tc>
          <w:tcPr>
            <w:tcW w:w="554" w:type="pct"/>
            <w:vMerge w:val="restart"/>
            <w:tcMar>
              <w:left w:w="51" w:type="dxa"/>
              <w:right w:w="51" w:type="dxa"/>
            </w:tcMar>
            <w:vAlign w:val="center"/>
          </w:tcPr>
          <w:p w14:paraId="203B5E22">
            <w:pPr>
              <w:overflowPunct w:val="0"/>
              <w:spacing w:line="280" w:lineRule="exact"/>
              <w:jc w:val="center"/>
              <w:rPr>
                <w:rFonts w:eastAsia="仿宋_GB2312"/>
              </w:rPr>
            </w:pPr>
            <w:r>
              <w:rPr>
                <w:rFonts w:eastAsia="仿宋_GB2312"/>
              </w:rPr>
              <w:t>面积不减少，性质不改变，功能不降低</w:t>
            </w:r>
          </w:p>
        </w:tc>
        <w:tc>
          <w:tcPr>
            <w:tcW w:w="301" w:type="pct"/>
            <w:vMerge w:val="restart"/>
            <w:shd w:val="clear" w:color="auto" w:fill="auto"/>
            <w:tcMar>
              <w:left w:w="51" w:type="dxa"/>
              <w:right w:w="51" w:type="dxa"/>
            </w:tcMar>
            <w:vAlign w:val="center"/>
          </w:tcPr>
          <w:p w14:paraId="0AC2BBCD">
            <w:pPr>
              <w:overflowPunct w:val="0"/>
              <w:spacing w:line="280" w:lineRule="exact"/>
              <w:jc w:val="center"/>
              <w:rPr>
                <w:rFonts w:eastAsia="仿宋_GB2312"/>
              </w:rPr>
            </w:pPr>
            <w:r>
              <w:rPr>
                <w:rFonts w:eastAsia="仿宋_GB2312"/>
              </w:rPr>
              <w:t>约束性</w:t>
            </w:r>
          </w:p>
        </w:tc>
        <w:tc>
          <w:tcPr>
            <w:tcW w:w="500" w:type="pct"/>
            <w:vMerge w:val="restart"/>
            <w:shd w:val="clear" w:color="auto" w:fill="auto"/>
            <w:tcMar>
              <w:top w:w="0" w:type="dxa"/>
              <w:left w:w="51" w:type="dxa"/>
              <w:bottom w:w="0" w:type="dxa"/>
              <w:right w:w="51" w:type="dxa"/>
            </w:tcMar>
            <w:vAlign w:val="center"/>
          </w:tcPr>
          <w:p w14:paraId="581AC57F">
            <w:pPr>
              <w:overflowPunct w:val="0"/>
              <w:spacing w:line="280" w:lineRule="exact"/>
              <w:jc w:val="center"/>
              <w:rPr>
                <w:rFonts w:eastAsia="仿宋_GB2312"/>
              </w:rPr>
            </w:pPr>
            <w:r>
              <w:rPr>
                <w:rFonts w:eastAsia="仿宋_GB2312"/>
              </w:rPr>
              <w:t>自然资源和规划局</w:t>
            </w:r>
          </w:p>
        </w:tc>
        <w:tc>
          <w:tcPr>
            <w:tcW w:w="1084" w:type="pct"/>
            <w:shd w:val="clear" w:color="auto" w:fill="auto"/>
            <w:tcMar>
              <w:top w:w="0" w:type="dxa"/>
              <w:left w:w="51" w:type="dxa"/>
              <w:bottom w:w="0" w:type="dxa"/>
              <w:right w:w="51" w:type="dxa"/>
            </w:tcMar>
            <w:vAlign w:val="center"/>
          </w:tcPr>
          <w:p w14:paraId="5511867B">
            <w:pPr>
              <w:overflowPunct w:val="0"/>
              <w:spacing w:line="280" w:lineRule="exact"/>
              <w:jc w:val="center"/>
              <w:rPr>
                <w:rFonts w:eastAsia="仿宋_GB2312"/>
              </w:rPr>
            </w:pPr>
            <w:r>
              <w:rPr>
                <w:rFonts w:eastAsia="仿宋_GB2312"/>
              </w:rPr>
              <w:t>自然资源和规划局</w:t>
            </w:r>
          </w:p>
        </w:tc>
      </w:tr>
      <w:tr w14:paraId="1E90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continue"/>
            <w:tcMar>
              <w:left w:w="51" w:type="dxa"/>
              <w:right w:w="51" w:type="dxa"/>
            </w:tcMar>
            <w:vAlign w:val="center"/>
          </w:tcPr>
          <w:p w14:paraId="056559F4">
            <w:pPr>
              <w:overflowPunct w:val="0"/>
              <w:spacing w:line="280" w:lineRule="exact"/>
              <w:jc w:val="center"/>
              <w:rPr>
                <w:rFonts w:eastAsia="仿宋_GB2312"/>
              </w:rPr>
            </w:pPr>
          </w:p>
        </w:tc>
        <w:tc>
          <w:tcPr>
            <w:tcW w:w="201" w:type="pct"/>
            <w:tcMar>
              <w:left w:w="51" w:type="dxa"/>
              <w:right w:w="51" w:type="dxa"/>
            </w:tcMar>
            <w:vAlign w:val="center"/>
          </w:tcPr>
          <w:p w14:paraId="4A78DF94">
            <w:pPr>
              <w:overflowPunct w:val="0"/>
              <w:spacing w:line="280" w:lineRule="exact"/>
              <w:jc w:val="center"/>
              <w:rPr>
                <w:rFonts w:eastAsia="仿宋_GB2312"/>
              </w:rPr>
            </w:pPr>
            <w:r>
              <w:rPr>
                <w:rFonts w:eastAsia="仿宋_GB2312"/>
              </w:rPr>
              <w:t>2</w:t>
            </w:r>
          </w:p>
        </w:tc>
        <w:tc>
          <w:tcPr>
            <w:tcW w:w="301" w:type="pct"/>
            <w:vMerge w:val="continue"/>
            <w:tcMar>
              <w:left w:w="51" w:type="dxa"/>
              <w:right w:w="51" w:type="dxa"/>
            </w:tcMar>
            <w:vAlign w:val="center"/>
          </w:tcPr>
          <w:p w14:paraId="692D8CB0">
            <w:pPr>
              <w:overflowPunct w:val="0"/>
              <w:spacing w:line="280" w:lineRule="exact"/>
              <w:jc w:val="center"/>
              <w:rPr>
                <w:rFonts w:eastAsia="仿宋_GB2312"/>
              </w:rPr>
            </w:pPr>
          </w:p>
        </w:tc>
        <w:tc>
          <w:tcPr>
            <w:tcW w:w="672" w:type="pct"/>
            <w:tcMar>
              <w:left w:w="51" w:type="dxa"/>
              <w:right w:w="51" w:type="dxa"/>
            </w:tcMar>
            <w:vAlign w:val="center"/>
          </w:tcPr>
          <w:p w14:paraId="33DC98E0">
            <w:pPr>
              <w:overflowPunct w:val="0"/>
              <w:spacing w:line="280" w:lineRule="exact"/>
              <w:jc w:val="center"/>
              <w:rPr>
                <w:rFonts w:eastAsia="仿宋_GB2312"/>
              </w:rPr>
            </w:pPr>
            <w:r>
              <w:rPr>
                <w:rFonts w:eastAsia="仿宋_GB2312"/>
              </w:rPr>
              <w:t>生态空间管控区域占全市国土面积比例</w:t>
            </w:r>
          </w:p>
        </w:tc>
        <w:tc>
          <w:tcPr>
            <w:tcW w:w="256" w:type="pct"/>
            <w:tcMar>
              <w:left w:w="51" w:type="dxa"/>
              <w:right w:w="51" w:type="dxa"/>
            </w:tcMar>
            <w:vAlign w:val="center"/>
          </w:tcPr>
          <w:p w14:paraId="56875851">
            <w:pPr>
              <w:overflowPunct w:val="0"/>
              <w:spacing w:line="280" w:lineRule="exact"/>
              <w:jc w:val="center"/>
              <w:rPr>
                <w:rFonts w:eastAsia="仿宋_GB2312"/>
              </w:rPr>
            </w:pPr>
            <w:r>
              <w:rPr>
                <w:rFonts w:eastAsia="仿宋_GB2312"/>
              </w:rPr>
              <w:t>%</w:t>
            </w:r>
          </w:p>
        </w:tc>
        <w:tc>
          <w:tcPr>
            <w:tcW w:w="419" w:type="pct"/>
            <w:tcMar>
              <w:left w:w="51" w:type="dxa"/>
              <w:right w:w="51" w:type="dxa"/>
            </w:tcMar>
            <w:vAlign w:val="center"/>
          </w:tcPr>
          <w:p w14:paraId="38D325B4">
            <w:pPr>
              <w:overflowPunct w:val="0"/>
              <w:spacing w:line="280" w:lineRule="exact"/>
              <w:jc w:val="center"/>
              <w:rPr>
                <w:rFonts w:eastAsia="仿宋_GB2312"/>
              </w:rPr>
            </w:pPr>
            <w:r>
              <w:rPr>
                <w:rFonts w:eastAsia="仿宋_GB2312"/>
              </w:rPr>
              <w:t>20.61</w:t>
            </w:r>
          </w:p>
        </w:tc>
        <w:tc>
          <w:tcPr>
            <w:tcW w:w="517" w:type="pct"/>
            <w:vMerge w:val="continue"/>
            <w:tcMar>
              <w:left w:w="51" w:type="dxa"/>
              <w:right w:w="51" w:type="dxa"/>
            </w:tcMar>
            <w:vAlign w:val="center"/>
          </w:tcPr>
          <w:p w14:paraId="3BB68C67">
            <w:pPr>
              <w:overflowPunct w:val="0"/>
              <w:spacing w:line="280" w:lineRule="exact"/>
              <w:jc w:val="center"/>
              <w:rPr>
                <w:rFonts w:eastAsia="仿宋_GB2312"/>
              </w:rPr>
            </w:pPr>
          </w:p>
        </w:tc>
        <w:tc>
          <w:tcPr>
            <w:tcW w:w="554" w:type="pct"/>
            <w:vMerge w:val="continue"/>
            <w:tcMar>
              <w:left w:w="51" w:type="dxa"/>
              <w:right w:w="51" w:type="dxa"/>
            </w:tcMar>
            <w:vAlign w:val="center"/>
          </w:tcPr>
          <w:p w14:paraId="62AB7687">
            <w:pPr>
              <w:overflowPunct w:val="0"/>
              <w:spacing w:line="280" w:lineRule="exact"/>
              <w:jc w:val="center"/>
              <w:rPr>
                <w:rFonts w:eastAsia="仿宋_GB2312"/>
              </w:rPr>
            </w:pPr>
          </w:p>
        </w:tc>
        <w:tc>
          <w:tcPr>
            <w:tcW w:w="301" w:type="pct"/>
            <w:vMerge w:val="continue"/>
            <w:shd w:val="clear" w:color="auto" w:fill="auto"/>
            <w:tcMar>
              <w:left w:w="51" w:type="dxa"/>
              <w:right w:w="51" w:type="dxa"/>
            </w:tcMar>
            <w:vAlign w:val="center"/>
          </w:tcPr>
          <w:p w14:paraId="7C9F3CD3">
            <w:pPr>
              <w:overflowPunct w:val="0"/>
              <w:spacing w:line="280" w:lineRule="exact"/>
              <w:jc w:val="center"/>
              <w:rPr>
                <w:rFonts w:eastAsia="仿宋_GB2312"/>
              </w:rPr>
            </w:pPr>
          </w:p>
        </w:tc>
        <w:tc>
          <w:tcPr>
            <w:tcW w:w="500" w:type="pct"/>
            <w:vMerge w:val="continue"/>
            <w:shd w:val="clear" w:color="auto" w:fill="auto"/>
            <w:tcMar>
              <w:top w:w="0" w:type="dxa"/>
              <w:left w:w="51" w:type="dxa"/>
              <w:bottom w:w="0" w:type="dxa"/>
              <w:right w:w="51" w:type="dxa"/>
            </w:tcMar>
            <w:vAlign w:val="center"/>
          </w:tcPr>
          <w:p w14:paraId="302CA728">
            <w:pPr>
              <w:overflowPunct w:val="0"/>
              <w:spacing w:line="280" w:lineRule="exact"/>
              <w:jc w:val="center"/>
              <w:rPr>
                <w:rFonts w:eastAsia="仿宋_GB2312"/>
              </w:rPr>
            </w:pPr>
          </w:p>
        </w:tc>
        <w:tc>
          <w:tcPr>
            <w:tcW w:w="1084" w:type="pct"/>
            <w:shd w:val="clear" w:color="auto" w:fill="auto"/>
            <w:tcMar>
              <w:top w:w="0" w:type="dxa"/>
              <w:left w:w="51" w:type="dxa"/>
              <w:bottom w:w="0" w:type="dxa"/>
              <w:right w:w="51" w:type="dxa"/>
            </w:tcMar>
            <w:vAlign w:val="center"/>
          </w:tcPr>
          <w:p w14:paraId="291E2C63">
            <w:pPr>
              <w:overflowPunct w:val="0"/>
              <w:spacing w:line="280" w:lineRule="exact"/>
              <w:jc w:val="center"/>
              <w:rPr>
                <w:rFonts w:eastAsia="仿宋_GB2312"/>
              </w:rPr>
            </w:pPr>
            <w:r>
              <w:rPr>
                <w:rFonts w:eastAsia="仿宋_GB2312"/>
              </w:rPr>
              <w:t>自然资源和规划局</w:t>
            </w:r>
          </w:p>
        </w:tc>
      </w:tr>
      <w:tr w14:paraId="36C9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continue"/>
            <w:tcMar>
              <w:left w:w="51" w:type="dxa"/>
              <w:right w:w="51" w:type="dxa"/>
            </w:tcMar>
            <w:vAlign w:val="center"/>
          </w:tcPr>
          <w:p w14:paraId="71F12C7A">
            <w:pPr>
              <w:overflowPunct w:val="0"/>
              <w:spacing w:line="280" w:lineRule="exact"/>
              <w:jc w:val="center"/>
              <w:rPr>
                <w:rFonts w:eastAsia="仿宋_GB2312"/>
              </w:rPr>
            </w:pPr>
          </w:p>
        </w:tc>
        <w:tc>
          <w:tcPr>
            <w:tcW w:w="201" w:type="pct"/>
            <w:tcMar>
              <w:left w:w="51" w:type="dxa"/>
              <w:right w:w="51" w:type="dxa"/>
            </w:tcMar>
            <w:vAlign w:val="center"/>
          </w:tcPr>
          <w:p w14:paraId="40F10A76">
            <w:pPr>
              <w:overflowPunct w:val="0"/>
              <w:spacing w:line="280" w:lineRule="exact"/>
              <w:jc w:val="center"/>
              <w:rPr>
                <w:rFonts w:eastAsia="仿宋_GB2312"/>
              </w:rPr>
            </w:pPr>
            <w:r>
              <w:rPr>
                <w:rFonts w:eastAsia="仿宋_GB2312"/>
              </w:rPr>
              <w:t>3</w:t>
            </w:r>
          </w:p>
        </w:tc>
        <w:tc>
          <w:tcPr>
            <w:tcW w:w="974" w:type="pct"/>
            <w:gridSpan w:val="2"/>
            <w:tcMar>
              <w:left w:w="51" w:type="dxa"/>
              <w:right w:w="51" w:type="dxa"/>
            </w:tcMar>
            <w:vAlign w:val="center"/>
          </w:tcPr>
          <w:p w14:paraId="15985BCC">
            <w:pPr>
              <w:overflowPunct w:val="0"/>
              <w:spacing w:line="280" w:lineRule="exact"/>
              <w:jc w:val="center"/>
              <w:rPr>
                <w:rFonts w:eastAsia="仿宋_GB2312"/>
              </w:rPr>
            </w:pPr>
            <w:r>
              <w:rPr>
                <w:rFonts w:eastAsia="仿宋_GB2312"/>
              </w:rPr>
              <w:t>湿地保护率</w:t>
            </w:r>
          </w:p>
        </w:tc>
        <w:tc>
          <w:tcPr>
            <w:tcW w:w="256" w:type="pct"/>
            <w:tcMar>
              <w:left w:w="51" w:type="dxa"/>
              <w:right w:w="51" w:type="dxa"/>
            </w:tcMar>
            <w:vAlign w:val="center"/>
          </w:tcPr>
          <w:p w14:paraId="3C8D5428">
            <w:pPr>
              <w:overflowPunct w:val="0"/>
              <w:spacing w:line="280" w:lineRule="exact"/>
              <w:jc w:val="center"/>
              <w:rPr>
                <w:rFonts w:eastAsia="仿宋_GB2312"/>
              </w:rPr>
            </w:pPr>
            <w:r>
              <w:rPr>
                <w:rFonts w:eastAsia="仿宋_GB2312"/>
              </w:rPr>
              <w:t>%</w:t>
            </w:r>
          </w:p>
        </w:tc>
        <w:tc>
          <w:tcPr>
            <w:tcW w:w="419" w:type="pct"/>
            <w:tcMar>
              <w:left w:w="51" w:type="dxa"/>
              <w:right w:w="51" w:type="dxa"/>
            </w:tcMar>
            <w:vAlign w:val="center"/>
          </w:tcPr>
          <w:p w14:paraId="3F89A3C3">
            <w:pPr>
              <w:overflowPunct w:val="0"/>
              <w:spacing w:line="280" w:lineRule="exact"/>
              <w:jc w:val="center"/>
              <w:rPr>
                <w:rFonts w:eastAsia="仿宋_GB2312"/>
              </w:rPr>
            </w:pPr>
            <w:r>
              <w:rPr>
                <w:rFonts w:eastAsia="仿宋_GB2312"/>
              </w:rPr>
              <w:t>61</w:t>
            </w:r>
          </w:p>
        </w:tc>
        <w:tc>
          <w:tcPr>
            <w:tcW w:w="517" w:type="pct"/>
            <w:tcMar>
              <w:left w:w="51" w:type="dxa"/>
              <w:right w:w="51" w:type="dxa"/>
            </w:tcMar>
            <w:vAlign w:val="center"/>
          </w:tcPr>
          <w:p w14:paraId="13277DC2">
            <w:pPr>
              <w:overflowPunct w:val="0"/>
              <w:spacing w:line="280" w:lineRule="exact"/>
              <w:jc w:val="center"/>
              <w:rPr>
                <w:rFonts w:eastAsia="仿宋_GB2312"/>
              </w:rPr>
            </w:pPr>
            <w:r>
              <w:rPr>
                <w:rFonts w:eastAsia="仿宋_GB2312"/>
              </w:rPr>
              <w:t>66.5</w:t>
            </w:r>
          </w:p>
        </w:tc>
        <w:tc>
          <w:tcPr>
            <w:tcW w:w="554" w:type="pct"/>
            <w:tcMar>
              <w:left w:w="51" w:type="dxa"/>
              <w:right w:w="51" w:type="dxa"/>
            </w:tcMar>
            <w:vAlign w:val="center"/>
          </w:tcPr>
          <w:p w14:paraId="400EEC52">
            <w:pPr>
              <w:overflowPunct w:val="0"/>
              <w:spacing w:line="280" w:lineRule="exact"/>
              <w:jc w:val="center"/>
              <w:rPr>
                <w:rFonts w:eastAsia="仿宋_GB2312"/>
              </w:rPr>
            </w:pPr>
            <w:r>
              <w:rPr>
                <w:rFonts w:eastAsia="仿宋_GB2312"/>
              </w:rPr>
              <w:t>68</w:t>
            </w:r>
          </w:p>
        </w:tc>
        <w:tc>
          <w:tcPr>
            <w:tcW w:w="301" w:type="pct"/>
            <w:tcMar>
              <w:left w:w="51" w:type="dxa"/>
              <w:right w:w="51" w:type="dxa"/>
            </w:tcMar>
            <w:vAlign w:val="center"/>
          </w:tcPr>
          <w:p w14:paraId="47C3DA89">
            <w:pPr>
              <w:overflowPunct w:val="0"/>
              <w:spacing w:line="280" w:lineRule="exact"/>
              <w:jc w:val="center"/>
              <w:rPr>
                <w:rFonts w:eastAsia="仿宋_GB2312"/>
              </w:rPr>
            </w:pPr>
            <w:r>
              <w:rPr>
                <w:rFonts w:eastAsia="仿宋_GB2312"/>
              </w:rPr>
              <w:t>约束性</w:t>
            </w:r>
          </w:p>
        </w:tc>
        <w:tc>
          <w:tcPr>
            <w:tcW w:w="500" w:type="pct"/>
            <w:tcMar>
              <w:top w:w="0" w:type="dxa"/>
              <w:left w:w="51" w:type="dxa"/>
              <w:bottom w:w="0" w:type="dxa"/>
              <w:right w:w="51" w:type="dxa"/>
            </w:tcMar>
            <w:vAlign w:val="center"/>
          </w:tcPr>
          <w:p w14:paraId="14B87BEC">
            <w:pPr>
              <w:overflowPunct w:val="0"/>
              <w:spacing w:line="280" w:lineRule="exact"/>
              <w:jc w:val="center"/>
              <w:rPr>
                <w:rFonts w:eastAsia="仿宋_GB2312"/>
              </w:rPr>
            </w:pPr>
            <w:r>
              <w:rPr>
                <w:rFonts w:eastAsia="仿宋_GB2312"/>
              </w:rPr>
              <w:t>自然资源和规划局</w:t>
            </w:r>
          </w:p>
        </w:tc>
        <w:tc>
          <w:tcPr>
            <w:tcW w:w="1084" w:type="pct"/>
            <w:tcMar>
              <w:top w:w="0" w:type="dxa"/>
              <w:left w:w="51" w:type="dxa"/>
              <w:bottom w:w="0" w:type="dxa"/>
              <w:right w:w="51" w:type="dxa"/>
            </w:tcMar>
            <w:vAlign w:val="center"/>
          </w:tcPr>
          <w:p w14:paraId="2543B7EA">
            <w:pPr>
              <w:overflowPunct w:val="0"/>
              <w:spacing w:line="280" w:lineRule="exact"/>
              <w:jc w:val="center"/>
              <w:rPr>
                <w:rFonts w:eastAsia="仿宋_GB2312"/>
              </w:rPr>
            </w:pPr>
            <w:r>
              <w:rPr>
                <w:rFonts w:eastAsia="仿宋_GB2312"/>
              </w:rPr>
              <w:t>《靖江市国土空间生态保护和修复规划（2021—2035年）》</w:t>
            </w:r>
          </w:p>
        </w:tc>
      </w:tr>
      <w:tr w14:paraId="5579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continue"/>
            <w:tcMar>
              <w:left w:w="51" w:type="dxa"/>
              <w:right w:w="51" w:type="dxa"/>
            </w:tcMar>
            <w:vAlign w:val="center"/>
          </w:tcPr>
          <w:p w14:paraId="457B528B">
            <w:pPr>
              <w:overflowPunct w:val="0"/>
              <w:spacing w:line="280" w:lineRule="exact"/>
              <w:jc w:val="center"/>
              <w:rPr>
                <w:rFonts w:eastAsia="仿宋_GB2312"/>
              </w:rPr>
            </w:pPr>
          </w:p>
        </w:tc>
        <w:tc>
          <w:tcPr>
            <w:tcW w:w="201" w:type="pct"/>
            <w:tcMar>
              <w:left w:w="51" w:type="dxa"/>
              <w:right w:w="51" w:type="dxa"/>
            </w:tcMar>
            <w:vAlign w:val="center"/>
          </w:tcPr>
          <w:p w14:paraId="56DEC954">
            <w:pPr>
              <w:overflowPunct w:val="0"/>
              <w:spacing w:line="280" w:lineRule="exact"/>
              <w:jc w:val="center"/>
              <w:rPr>
                <w:rFonts w:eastAsia="仿宋_GB2312"/>
              </w:rPr>
            </w:pPr>
            <w:r>
              <w:rPr>
                <w:rFonts w:eastAsia="仿宋_GB2312"/>
              </w:rPr>
              <w:t>4</w:t>
            </w:r>
          </w:p>
        </w:tc>
        <w:tc>
          <w:tcPr>
            <w:tcW w:w="974" w:type="pct"/>
            <w:gridSpan w:val="2"/>
            <w:tcMar>
              <w:left w:w="51" w:type="dxa"/>
              <w:right w:w="51" w:type="dxa"/>
            </w:tcMar>
            <w:vAlign w:val="center"/>
          </w:tcPr>
          <w:p w14:paraId="166F0EE8">
            <w:pPr>
              <w:overflowPunct w:val="0"/>
              <w:spacing w:line="280" w:lineRule="exact"/>
              <w:jc w:val="center"/>
              <w:rPr>
                <w:rFonts w:eastAsia="仿宋_GB2312"/>
              </w:rPr>
            </w:pPr>
            <w:r>
              <w:rPr>
                <w:rFonts w:eastAsia="仿宋_GB2312"/>
              </w:rPr>
              <w:t>大陆自然岸线保有率</w:t>
            </w:r>
          </w:p>
        </w:tc>
        <w:tc>
          <w:tcPr>
            <w:tcW w:w="256" w:type="pct"/>
            <w:tcMar>
              <w:left w:w="51" w:type="dxa"/>
              <w:right w:w="51" w:type="dxa"/>
            </w:tcMar>
            <w:vAlign w:val="center"/>
          </w:tcPr>
          <w:p w14:paraId="320557F7">
            <w:pPr>
              <w:overflowPunct w:val="0"/>
              <w:spacing w:line="280" w:lineRule="exact"/>
              <w:jc w:val="center"/>
              <w:rPr>
                <w:rFonts w:eastAsia="仿宋_GB2312"/>
              </w:rPr>
            </w:pPr>
            <w:r>
              <w:rPr>
                <w:rFonts w:eastAsia="仿宋_GB2312"/>
              </w:rPr>
              <w:t>%</w:t>
            </w:r>
          </w:p>
        </w:tc>
        <w:tc>
          <w:tcPr>
            <w:tcW w:w="419" w:type="pct"/>
            <w:tcMar>
              <w:left w:w="51" w:type="dxa"/>
              <w:right w:w="51" w:type="dxa"/>
            </w:tcMar>
            <w:vAlign w:val="center"/>
          </w:tcPr>
          <w:p w14:paraId="63F6E8B8">
            <w:pPr>
              <w:overflowPunct w:val="0"/>
              <w:spacing w:line="280" w:lineRule="exact"/>
              <w:jc w:val="center"/>
              <w:rPr>
                <w:rFonts w:eastAsia="仿宋_GB2312"/>
              </w:rPr>
            </w:pPr>
            <w:r>
              <w:rPr>
                <w:rFonts w:eastAsia="仿宋_GB2312"/>
              </w:rPr>
              <w:t>37.18</w:t>
            </w:r>
          </w:p>
        </w:tc>
        <w:tc>
          <w:tcPr>
            <w:tcW w:w="517" w:type="pct"/>
            <w:tcMar>
              <w:left w:w="51" w:type="dxa"/>
              <w:right w:w="51" w:type="dxa"/>
            </w:tcMar>
            <w:vAlign w:val="center"/>
          </w:tcPr>
          <w:p w14:paraId="4F89FC16">
            <w:pPr>
              <w:overflowPunct w:val="0"/>
              <w:spacing w:line="280" w:lineRule="exact"/>
              <w:jc w:val="center"/>
              <w:rPr>
                <w:rFonts w:eastAsia="仿宋_GB2312"/>
              </w:rPr>
            </w:pPr>
            <w:r>
              <w:rPr>
                <w:rFonts w:eastAsia="仿宋_GB2312"/>
              </w:rPr>
              <w:t>依据上级下达任务确定</w:t>
            </w:r>
          </w:p>
        </w:tc>
        <w:tc>
          <w:tcPr>
            <w:tcW w:w="554" w:type="pct"/>
            <w:tcMar>
              <w:left w:w="51" w:type="dxa"/>
              <w:right w:w="51" w:type="dxa"/>
            </w:tcMar>
            <w:vAlign w:val="center"/>
          </w:tcPr>
          <w:p w14:paraId="334098C0">
            <w:pPr>
              <w:overflowPunct w:val="0"/>
              <w:spacing w:line="280" w:lineRule="exact"/>
              <w:jc w:val="center"/>
              <w:rPr>
                <w:rFonts w:eastAsia="仿宋_GB2312"/>
              </w:rPr>
            </w:pPr>
            <w:r>
              <w:rPr>
                <w:rFonts w:eastAsia="仿宋_GB2312"/>
              </w:rPr>
              <w:t>依据上级下达任务确定</w:t>
            </w:r>
          </w:p>
        </w:tc>
        <w:tc>
          <w:tcPr>
            <w:tcW w:w="301" w:type="pct"/>
            <w:tcMar>
              <w:left w:w="51" w:type="dxa"/>
              <w:right w:w="51" w:type="dxa"/>
            </w:tcMar>
            <w:vAlign w:val="center"/>
          </w:tcPr>
          <w:p w14:paraId="43AEB8EB">
            <w:pPr>
              <w:overflowPunct w:val="0"/>
              <w:spacing w:line="280" w:lineRule="exact"/>
              <w:jc w:val="center"/>
              <w:rPr>
                <w:rFonts w:eastAsia="仿宋_GB2312"/>
              </w:rPr>
            </w:pPr>
            <w:r>
              <w:rPr>
                <w:rFonts w:eastAsia="仿宋_GB2312"/>
              </w:rPr>
              <w:t>约束性</w:t>
            </w:r>
          </w:p>
        </w:tc>
        <w:tc>
          <w:tcPr>
            <w:tcW w:w="500" w:type="pct"/>
            <w:tcMar>
              <w:top w:w="0" w:type="dxa"/>
              <w:left w:w="51" w:type="dxa"/>
              <w:bottom w:w="0" w:type="dxa"/>
              <w:right w:w="51" w:type="dxa"/>
            </w:tcMar>
            <w:vAlign w:val="center"/>
          </w:tcPr>
          <w:p w14:paraId="51CCCFD1">
            <w:pPr>
              <w:overflowPunct w:val="0"/>
              <w:spacing w:line="280" w:lineRule="exact"/>
              <w:jc w:val="center"/>
              <w:rPr>
                <w:rFonts w:eastAsia="仿宋_GB2312"/>
              </w:rPr>
            </w:pPr>
            <w:r>
              <w:rPr>
                <w:rFonts w:eastAsia="仿宋_GB2312"/>
              </w:rPr>
              <w:t>自然资源和规划局</w:t>
            </w:r>
          </w:p>
        </w:tc>
        <w:tc>
          <w:tcPr>
            <w:tcW w:w="1084" w:type="pct"/>
            <w:tcMar>
              <w:top w:w="0" w:type="dxa"/>
              <w:left w:w="51" w:type="dxa"/>
              <w:bottom w:w="0" w:type="dxa"/>
              <w:right w:w="51" w:type="dxa"/>
            </w:tcMar>
            <w:vAlign w:val="center"/>
          </w:tcPr>
          <w:p w14:paraId="000040FE">
            <w:pPr>
              <w:overflowPunct w:val="0"/>
              <w:spacing w:line="280" w:lineRule="exact"/>
              <w:jc w:val="center"/>
              <w:rPr>
                <w:rFonts w:eastAsia="仿宋_GB2312"/>
              </w:rPr>
            </w:pPr>
            <w:r>
              <w:rPr>
                <w:rFonts w:eastAsia="仿宋_GB2312"/>
              </w:rPr>
              <w:t>《靖江市国土空间生态保护和修复规划（2021—2035年）》</w:t>
            </w:r>
          </w:p>
        </w:tc>
      </w:tr>
      <w:tr w14:paraId="3EBC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continue"/>
            <w:tcMar>
              <w:left w:w="51" w:type="dxa"/>
              <w:right w:w="51" w:type="dxa"/>
            </w:tcMar>
            <w:vAlign w:val="center"/>
          </w:tcPr>
          <w:p w14:paraId="2C211226">
            <w:pPr>
              <w:overflowPunct w:val="0"/>
              <w:spacing w:line="280" w:lineRule="exact"/>
              <w:jc w:val="center"/>
              <w:rPr>
                <w:rFonts w:eastAsia="仿宋_GB2312"/>
              </w:rPr>
            </w:pPr>
          </w:p>
        </w:tc>
        <w:tc>
          <w:tcPr>
            <w:tcW w:w="201" w:type="pct"/>
            <w:tcMar>
              <w:left w:w="51" w:type="dxa"/>
              <w:right w:w="51" w:type="dxa"/>
            </w:tcMar>
            <w:vAlign w:val="center"/>
          </w:tcPr>
          <w:p w14:paraId="581D1188">
            <w:pPr>
              <w:overflowPunct w:val="0"/>
              <w:spacing w:line="280" w:lineRule="exact"/>
              <w:jc w:val="center"/>
              <w:rPr>
                <w:rFonts w:eastAsia="仿宋_GB2312"/>
              </w:rPr>
            </w:pPr>
            <w:r>
              <w:rPr>
                <w:rFonts w:eastAsia="仿宋_GB2312"/>
              </w:rPr>
              <w:t>5</w:t>
            </w:r>
          </w:p>
        </w:tc>
        <w:tc>
          <w:tcPr>
            <w:tcW w:w="974" w:type="pct"/>
            <w:gridSpan w:val="2"/>
            <w:shd w:val="clear" w:color="auto" w:fill="auto"/>
            <w:tcMar>
              <w:left w:w="51" w:type="dxa"/>
              <w:right w:w="51" w:type="dxa"/>
            </w:tcMar>
            <w:vAlign w:val="center"/>
          </w:tcPr>
          <w:p w14:paraId="40E7A1E6">
            <w:pPr>
              <w:overflowPunct w:val="0"/>
              <w:spacing w:line="280" w:lineRule="exact"/>
              <w:jc w:val="center"/>
              <w:rPr>
                <w:rFonts w:eastAsia="仿宋_GB2312"/>
                <w:kern w:val="2"/>
              </w:rPr>
            </w:pPr>
            <w:r>
              <w:rPr>
                <w:rFonts w:eastAsia="仿宋_GB2312"/>
              </w:rPr>
              <w:t>森林覆盖率</w:t>
            </w:r>
          </w:p>
        </w:tc>
        <w:tc>
          <w:tcPr>
            <w:tcW w:w="256" w:type="pct"/>
            <w:shd w:val="clear" w:color="auto" w:fill="auto"/>
            <w:tcMar>
              <w:left w:w="51" w:type="dxa"/>
              <w:right w:w="51" w:type="dxa"/>
            </w:tcMar>
            <w:vAlign w:val="center"/>
          </w:tcPr>
          <w:p w14:paraId="37AF78A7">
            <w:pPr>
              <w:overflowPunct w:val="0"/>
              <w:spacing w:line="280" w:lineRule="exact"/>
              <w:jc w:val="center"/>
              <w:rPr>
                <w:rFonts w:eastAsia="仿宋_GB2312"/>
                <w:kern w:val="2"/>
              </w:rPr>
            </w:pPr>
            <w:r>
              <w:rPr>
                <w:rFonts w:eastAsia="仿宋_GB2312"/>
              </w:rPr>
              <w:t>%</w:t>
            </w:r>
          </w:p>
        </w:tc>
        <w:tc>
          <w:tcPr>
            <w:tcW w:w="419" w:type="pct"/>
            <w:shd w:val="clear" w:color="auto" w:fill="auto"/>
            <w:tcMar>
              <w:left w:w="51" w:type="dxa"/>
              <w:right w:w="51" w:type="dxa"/>
            </w:tcMar>
            <w:vAlign w:val="center"/>
          </w:tcPr>
          <w:p w14:paraId="67C7F863">
            <w:pPr>
              <w:overflowPunct w:val="0"/>
              <w:spacing w:line="280" w:lineRule="exact"/>
              <w:jc w:val="center"/>
              <w:rPr>
                <w:rFonts w:eastAsia="仿宋_GB2312"/>
                <w:kern w:val="2"/>
              </w:rPr>
            </w:pPr>
            <w:r>
              <w:rPr>
                <w:rFonts w:eastAsia="仿宋_GB2312"/>
              </w:rPr>
              <w:t>5.18</w:t>
            </w:r>
          </w:p>
        </w:tc>
        <w:tc>
          <w:tcPr>
            <w:tcW w:w="517" w:type="pct"/>
            <w:shd w:val="clear" w:color="auto" w:fill="auto"/>
            <w:tcMar>
              <w:left w:w="51" w:type="dxa"/>
              <w:right w:w="51" w:type="dxa"/>
            </w:tcMar>
            <w:vAlign w:val="center"/>
          </w:tcPr>
          <w:p w14:paraId="180B6612">
            <w:pPr>
              <w:overflowPunct w:val="0"/>
              <w:spacing w:line="280" w:lineRule="exact"/>
              <w:jc w:val="center"/>
              <w:rPr>
                <w:rFonts w:eastAsia="仿宋_GB2312"/>
                <w:kern w:val="2"/>
              </w:rPr>
            </w:pPr>
            <w:r>
              <w:rPr>
                <w:rFonts w:eastAsia="仿宋_GB2312"/>
              </w:rPr>
              <w:t>依据上级下达任务确定</w:t>
            </w:r>
          </w:p>
        </w:tc>
        <w:tc>
          <w:tcPr>
            <w:tcW w:w="554" w:type="pct"/>
            <w:shd w:val="clear" w:color="auto" w:fill="auto"/>
            <w:tcMar>
              <w:left w:w="51" w:type="dxa"/>
              <w:right w:w="51" w:type="dxa"/>
            </w:tcMar>
            <w:vAlign w:val="center"/>
          </w:tcPr>
          <w:p w14:paraId="2BA64A05">
            <w:pPr>
              <w:overflowPunct w:val="0"/>
              <w:spacing w:line="280" w:lineRule="exact"/>
              <w:jc w:val="center"/>
              <w:rPr>
                <w:rFonts w:eastAsia="仿宋_GB2312"/>
                <w:kern w:val="2"/>
              </w:rPr>
            </w:pPr>
            <w:r>
              <w:rPr>
                <w:rFonts w:eastAsia="仿宋_GB2312"/>
              </w:rPr>
              <w:t>依据上级下达任务确定</w:t>
            </w:r>
          </w:p>
        </w:tc>
        <w:tc>
          <w:tcPr>
            <w:tcW w:w="301" w:type="pct"/>
            <w:shd w:val="clear" w:color="auto" w:fill="auto"/>
            <w:tcMar>
              <w:left w:w="51" w:type="dxa"/>
              <w:right w:w="51" w:type="dxa"/>
            </w:tcMar>
            <w:vAlign w:val="center"/>
          </w:tcPr>
          <w:p w14:paraId="0F28D8BB">
            <w:pPr>
              <w:overflowPunct w:val="0"/>
              <w:spacing w:line="280" w:lineRule="exact"/>
              <w:jc w:val="center"/>
              <w:rPr>
                <w:rFonts w:eastAsia="仿宋_GB2312"/>
                <w:kern w:val="2"/>
              </w:rPr>
            </w:pPr>
            <w:r>
              <w:rPr>
                <w:rFonts w:eastAsia="仿宋_GB2312"/>
              </w:rPr>
              <w:t>约束性</w:t>
            </w:r>
          </w:p>
        </w:tc>
        <w:tc>
          <w:tcPr>
            <w:tcW w:w="500" w:type="pct"/>
            <w:shd w:val="clear" w:color="auto" w:fill="auto"/>
            <w:tcMar>
              <w:top w:w="0" w:type="dxa"/>
              <w:left w:w="51" w:type="dxa"/>
              <w:bottom w:w="0" w:type="dxa"/>
              <w:right w:w="51" w:type="dxa"/>
            </w:tcMar>
            <w:vAlign w:val="center"/>
          </w:tcPr>
          <w:p w14:paraId="59BFE036">
            <w:pPr>
              <w:overflowPunct w:val="0"/>
              <w:spacing w:line="280" w:lineRule="exact"/>
              <w:jc w:val="center"/>
              <w:rPr>
                <w:rFonts w:eastAsia="仿宋_GB2312"/>
                <w:kern w:val="2"/>
              </w:rPr>
            </w:pPr>
            <w:r>
              <w:rPr>
                <w:rFonts w:eastAsia="仿宋_GB2312"/>
              </w:rPr>
              <w:t>自然资源和规划局</w:t>
            </w:r>
          </w:p>
        </w:tc>
        <w:tc>
          <w:tcPr>
            <w:tcW w:w="1084" w:type="pct"/>
            <w:shd w:val="clear" w:color="auto" w:fill="auto"/>
            <w:tcMar>
              <w:top w:w="0" w:type="dxa"/>
              <w:left w:w="51" w:type="dxa"/>
              <w:bottom w:w="0" w:type="dxa"/>
              <w:right w:w="51" w:type="dxa"/>
            </w:tcMar>
            <w:vAlign w:val="center"/>
          </w:tcPr>
          <w:p w14:paraId="01511AE2">
            <w:pPr>
              <w:overflowPunct w:val="0"/>
              <w:spacing w:line="280" w:lineRule="exact"/>
              <w:jc w:val="center"/>
              <w:rPr>
                <w:rFonts w:eastAsia="仿宋_GB2312"/>
                <w:kern w:val="2"/>
              </w:rPr>
            </w:pPr>
            <w:r>
              <w:rPr>
                <w:rFonts w:eastAsia="仿宋_GB2312"/>
              </w:rPr>
              <w:t>2023年国土变更调查</w:t>
            </w:r>
          </w:p>
        </w:tc>
      </w:tr>
      <w:tr w14:paraId="5972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continue"/>
            <w:tcMar>
              <w:left w:w="51" w:type="dxa"/>
              <w:right w:w="51" w:type="dxa"/>
            </w:tcMar>
            <w:vAlign w:val="center"/>
          </w:tcPr>
          <w:p w14:paraId="5CAA1CDB">
            <w:pPr>
              <w:overflowPunct w:val="0"/>
              <w:spacing w:line="280" w:lineRule="exact"/>
              <w:jc w:val="center"/>
              <w:rPr>
                <w:rFonts w:eastAsia="仿宋_GB2312"/>
              </w:rPr>
            </w:pPr>
          </w:p>
        </w:tc>
        <w:tc>
          <w:tcPr>
            <w:tcW w:w="201" w:type="pct"/>
            <w:shd w:val="clear" w:color="auto" w:fill="auto"/>
            <w:tcMar>
              <w:left w:w="51" w:type="dxa"/>
              <w:right w:w="51" w:type="dxa"/>
            </w:tcMar>
            <w:vAlign w:val="center"/>
          </w:tcPr>
          <w:p w14:paraId="393003F6">
            <w:pPr>
              <w:overflowPunct w:val="0"/>
              <w:spacing w:line="280" w:lineRule="exact"/>
              <w:jc w:val="center"/>
              <w:rPr>
                <w:rFonts w:eastAsia="仿宋_GB2312"/>
                <w:kern w:val="2"/>
              </w:rPr>
            </w:pPr>
            <w:r>
              <w:rPr>
                <w:rFonts w:eastAsia="仿宋_GB2312"/>
              </w:rPr>
              <w:t>6</w:t>
            </w:r>
          </w:p>
        </w:tc>
        <w:tc>
          <w:tcPr>
            <w:tcW w:w="974" w:type="pct"/>
            <w:gridSpan w:val="2"/>
            <w:shd w:val="clear" w:color="auto" w:fill="auto"/>
            <w:tcMar>
              <w:left w:w="51" w:type="dxa"/>
              <w:right w:w="51" w:type="dxa"/>
            </w:tcMar>
            <w:vAlign w:val="center"/>
          </w:tcPr>
          <w:p w14:paraId="6D4483B3">
            <w:pPr>
              <w:overflowPunct w:val="0"/>
              <w:spacing w:line="280" w:lineRule="exact"/>
              <w:jc w:val="center"/>
              <w:rPr>
                <w:rFonts w:eastAsia="仿宋_GB2312"/>
                <w:kern w:val="2"/>
              </w:rPr>
            </w:pPr>
            <w:r>
              <w:rPr>
                <w:rFonts w:eastAsia="仿宋_GB2312"/>
              </w:rPr>
              <w:t>耕地保有量</w:t>
            </w:r>
          </w:p>
        </w:tc>
        <w:tc>
          <w:tcPr>
            <w:tcW w:w="256" w:type="pct"/>
            <w:shd w:val="clear" w:color="auto" w:fill="auto"/>
            <w:tcMar>
              <w:left w:w="51" w:type="dxa"/>
              <w:right w:w="51" w:type="dxa"/>
            </w:tcMar>
            <w:vAlign w:val="center"/>
          </w:tcPr>
          <w:p w14:paraId="5CDC64A6">
            <w:pPr>
              <w:overflowPunct w:val="0"/>
              <w:spacing w:line="280" w:lineRule="exact"/>
              <w:jc w:val="center"/>
              <w:rPr>
                <w:rFonts w:eastAsia="仿宋_GB2312"/>
                <w:kern w:val="2"/>
              </w:rPr>
            </w:pPr>
            <w:r>
              <w:rPr>
                <w:rFonts w:eastAsia="仿宋_GB2312"/>
              </w:rPr>
              <w:t>公顷</w:t>
            </w:r>
          </w:p>
        </w:tc>
        <w:tc>
          <w:tcPr>
            <w:tcW w:w="419" w:type="pct"/>
            <w:shd w:val="clear" w:color="auto" w:fill="auto"/>
            <w:tcMar>
              <w:left w:w="51" w:type="dxa"/>
              <w:right w:w="51" w:type="dxa"/>
            </w:tcMar>
            <w:vAlign w:val="center"/>
          </w:tcPr>
          <w:p w14:paraId="013EA83A">
            <w:pPr>
              <w:overflowPunct w:val="0"/>
              <w:spacing w:line="280" w:lineRule="exact"/>
              <w:jc w:val="center"/>
              <w:rPr>
                <w:rFonts w:eastAsia="仿宋_GB2312"/>
                <w:kern w:val="2"/>
              </w:rPr>
            </w:pPr>
            <w:r>
              <w:rPr>
                <w:rFonts w:eastAsia="仿宋_GB2312"/>
              </w:rPr>
              <w:t>2338</w:t>
            </w:r>
            <w:r>
              <w:rPr>
                <w:rFonts w:hint="eastAsia" w:eastAsia="仿宋_GB2312"/>
              </w:rPr>
              <w:t>6</w:t>
            </w:r>
          </w:p>
        </w:tc>
        <w:tc>
          <w:tcPr>
            <w:tcW w:w="517" w:type="pct"/>
            <w:shd w:val="clear" w:color="auto" w:fill="auto"/>
            <w:tcMar>
              <w:left w:w="51" w:type="dxa"/>
              <w:right w:w="51" w:type="dxa"/>
            </w:tcMar>
            <w:vAlign w:val="center"/>
          </w:tcPr>
          <w:p w14:paraId="40B72C1B">
            <w:pPr>
              <w:overflowPunct w:val="0"/>
              <w:spacing w:line="280" w:lineRule="exact"/>
              <w:jc w:val="center"/>
              <w:rPr>
                <w:rFonts w:eastAsia="仿宋_GB2312"/>
                <w:kern w:val="2"/>
              </w:rPr>
            </w:pPr>
            <w:r>
              <w:rPr>
                <w:rFonts w:eastAsia="仿宋_GB2312"/>
              </w:rPr>
              <w:t>≥2338</w:t>
            </w:r>
            <w:r>
              <w:rPr>
                <w:rFonts w:hint="eastAsia" w:eastAsia="仿宋_GB2312"/>
              </w:rPr>
              <w:t>6</w:t>
            </w:r>
          </w:p>
        </w:tc>
        <w:tc>
          <w:tcPr>
            <w:tcW w:w="554" w:type="pct"/>
            <w:shd w:val="clear" w:color="auto" w:fill="auto"/>
            <w:tcMar>
              <w:left w:w="51" w:type="dxa"/>
              <w:right w:w="51" w:type="dxa"/>
            </w:tcMar>
            <w:vAlign w:val="center"/>
          </w:tcPr>
          <w:p w14:paraId="6ED18DC6">
            <w:pPr>
              <w:overflowPunct w:val="0"/>
              <w:spacing w:line="280" w:lineRule="exact"/>
              <w:jc w:val="center"/>
              <w:rPr>
                <w:rFonts w:eastAsia="仿宋_GB2312"/>
                <w:kern w:val="2"/>
              </w:rPr>
            </w:pPr>
            <w:r>
              <w:rPr>
                <w:rFonts w:eastAsia="仿宋_GB2312"/>
              </w:rPr>
              <w:t>≥2338</w:t>
            </w:r>
            <w:r>
              <w:rPr>
                <w:rFonts w:hint="eastAsia" w:eastAsia="仿宋_GB2312"/>
              </w:rPr>
              <w:t>6</w:t>
            </w:r>
          </w:p>
        </w:tc>
        <w:tc>
          <w:tcPr>
            <w:tcW w:w="301" w:type="pct"/>
            <w:shd w:val="clear" w:color="auto" w:fill="auto"/>
            <w:tcMar>
              <w:left w:w="51" w:type="dxa"/>
              <w:right w:w="51" w:type="dxa"/>
            </w:tcMar>
            <w:vAlign w:val="center"/>
          </w:tcPr>
          <w:p w14:paraId="4667FCE3">
            <w:pPr>
              <w:overflowPunct w:val="0"/>
              <w:spacing w:line="280" w:lineRule="exact"/>
              <w:jc w:val="center"/>
              <w:rPr>
                <w:rFonts w:eastAsia="仿宋_GB2312"/>
                <w:kern w:val="2"/>
              </w:rPr>
            </w:pPr>
            <w:r>
              <w:rPr>
                <w:rFonts w:eastAsia="仿宋_GB2312"/>
              </w:rPr>
              <w:t>约束性</w:t>
            </w:r>
          </w:p>
        </w:tc>
        <w:tc>
          <w:tcPr>
            <w:tcW w:w="500" w:type="pct"/>
            <w:shd w:val="clear" w:color="auto" w:fill="auto"/>
            <w:tcMar>
              <w:top w:w="0" w:type="dxa"/>
              <w:left w:w="51" w:type="dxa"/>
              <w:bottom w:w="0" w:type="dxa"/>
              <w:right w:w="51" w:type="dxa"/>
            </w:tcMar>
            <w:vAlign w:val="center"/>
          </w:tcPr>
          <w:p w14:paraId="2083C55A">
            <w:pPr>
              <w:overflowPunct w:val="0"/>
              <w:spacing w:line="280" w:lineRule="exact"/>
              <w:jc w:val="center"/>
              <w:rPr>
                <w:rFonts w:eastAsia="仿宋_GB2312"/>
                <w:kern w:val="2"/>
              </w:rPr>
            </w:pPr>
            <w:r>
              <w:rPr>
                <w:rFonts w:eastAsia="仿宋_GB2312"/>
              </w:rPr>
              <w:t>农业农村局</w:t>
            </w:r>
          </w:p>
        </w:tc>
        <w:tc>
          <w:tcPr>
            <w:tcW w:w="1084" w:type="pct"/>
            <w:shd w:val="clear" w:color="auto" w:fill="auto"/>
            <w:tcMar>
              <w:top w:w="0" w:type="dxa"/>
              <w:left w:w="51" w:type="dxa"/>
              <w:bottom w:w="0" w:type="dxa"/>
              <w:right w:w="51" w:type="dxa"/>
            </w:tcMar>
            <w:vAlign w:val="center"/>
          </w:tcPr>
          <w:p w14:paraId="7E931EB6">
            <w:pPr>
              <w:overflowPunct w:val="0"/>
              <w:spacing w:line="280" w:lineRule="exact"/>
              <w:jc w:val="center"/>
              <w:rPr>
                <w:rFonts w:eastAsia="仿宋_GB2312"/>
                <w:kern w:val="2"/>
              </w:rPr>
            </w:pPr>
            <w:r>
              <w:rPr>
                <w:rFonts w:eastAsia="仿宋_GB2312"/>
              </w:rPr>
              <w:t>《2023靖江统计年鉴》</w:t>
            </w:r>
          </w:p>
        </w:tc>
      </w:tr>
      <w:tr w14:paraId="24E4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continue"/>
            <w:tcMar>
              <w:left w:w="51" w:type="dxa"/>
              <w:right w:w="51" w:type="dxa"/>
            </w:tcMar>
            <w:vAlign w:val="center"/>
          </w:tcPr>
          <w:p w14:paraId="2343DEC4">
            <w:pPr>
              <w:overflowPunct w:val="0"/>
              <w:spacing w:line="280" w:lineRule="exact"/>
              <w:jc w:val="center"/>
              <w:rPr>
                <w:rFonts w:eastAsia="仿宋_GB2312"/>
              </w:rPr>
            </w:pPr>
          </w:p>
        </w:tc>
        <w:tc>
          <w:tcPr>
            <w:tcW w:w="201" w:type="pct"/>
            <w:shd w:val="clear" w:color="auto" w:fill="auto"/>
            <w:tcMar>
              <w:left w:w="51" w:type="dxa"/>
              <w:right w:w="51" w:type="dxa"/>
            </w:tcMar>
            <w:vAlign w:val="center"/>
          </w:tcPr>
          <w:p w14:paraId="2C45B76D">
            <w:pPr>
              <w:overflowPunct w:val="0"/>
              <w:spacing w:line="280" w:lineRule="exact"/>
              <w:jc w:val="center"/>
              <w:rPr>
                <w:rFonts w:eastAsia="仿宋_GB2312"/>
                <w:kern w:val="2"/>
              </w:rPr>
            </w:pPr>
            <w:r>
              <w:rPr>
                <w:rFonts w:eastAsia="仿宋_GB2312"/>
              </w:rPr>
              <w:t>7</w:t>
            </w:r>
          </w:p>
        </w:tc>
        <w:tc>
          <w:tcPr>
            <w:tcW w:w="974" w:type="pct"/>
            <w:gridSpan w:val="2"/>
            <w:shd w:val="clear" w:color="auto" w:fill="auto"/>
            <w:tcMar>
              <w:left w:w="51" w:type="dxa"/>
              <w:right w:w="51" w:type="dxa"/>
            </w:tcMar>
            <w:vAlign w:val="center"/>
          </w:tcPr>
          <w:p w14:paraId="3972787B">
            <w:pPr>
              <w:overflowPunct w:val="0"/>
              <w:spacing w:line="280" w:lineRule="exact"/>
              <w:jc w:val="center"/>
              <w:rPr>
                <w:rFonts w:eastAsia="仿宋_GB2312"/>
                <w:kern w:val="2"/>
              </w:rPr>
            </w:pPr>
            <w:r>
              <w:rPr>
                <w:rFonts w:eastAsia="仿宋_GB2312"/>
              </w:rPr>
              <w:t>受污染耕地安全利用率</w:t>
            </w:r>
          </w:p>
        </w:tc>
        <w:tc>
          <w:tcPr>
            <w:tcW w:w="256" w:type="pct"/>
            <w:shd w:val="clear" w:color="auto" w:fill="auto"/>
            <w:tcMar>
              <w:left w:w="51" w:type="dxa"/>
              <w:right w:w="51" w:type="dxa"/>
            </w:tcMar>
            <w:vAlign w:val="center"/>
          </w:tcPr>
          <w:p w14:paraId="0C361D72">
            <w:pPr>
              <w:overflowPunct w:val="0"/>
              <w:spacing w:line="280" w:lineRule="exact"/>
              <w:jc w:val="center"/>
              <w:rPr>
                <w:rFonts w:eastAsia="仿宋_GB2312"/>
                <w:kern w:val="2"/>
              </w:rPr>
            </w:pPr>
            <w:r>
              <w:rPr>
                <w:rFonts w:eastAsia="仿宋_GB2312"/>
              </w:rPr>
              <w:t>%</w:t>
            </w:r>
          </w:p>
        </w:tc>
        <w:tc>
          <w:tcPr>
            <w:tcW w:w="419" w:type="pct"/>
            <w:shd w:val="clear" w:color="auto" w:fill="auto"/>
            <w:tcMar>
              <w:left w:w="51" w:type="dxa"/>
              <w:right w:w="51" w:type="dxa"/>
            </w:tcMar>
            <w:vAlign w:val="center"/>
          </w:tcPr>
          <w:p w14:paraId="1444192E">
            <w:pPr>
              <w:overflowPunct w:val="0"/>
              <w:spacing w:line="280" w:lineRule="exact"/>
              <w:jc w:val="center"/>
              <w:rPr>
                <w:rFonts w:eastAsia="仿宋_GB2312"/>
                <w:kern w:val="2"/>
              </w:rPr>
            </w:pPr>
            <w:r>
              <w:rPr>
                <w:rFonts w:eastAsia="仿宋_GB2312"/>
              </w:rPr>
              <w:t>100</w:t>
            </w:r>
          </w:p>
        </w:tc>
        <w:tc>
          <w:tcPr>
            <w:tcW w:w="517" w:type="pct"/>
            <w:shd w:val="clear" w:color="auto" w:fill="auto"/>
            <w:tcMar>
              <w:left w:w="51" w:type="dxa"/>
              <w:right w:w="51" w:type="dxa"/>
            </w:tcMar>
            <w:vAlign w:val="center"/>
          </w:tcPr>
          <w:p w14:paraId="1BA6C919">
            <w:pPr>
              <w:overflowPunct w:val="0"/>
              <w:spacing w:line="280" w:lineRule="exact"/>
              <w:jc w:val="center"/>
              <w:rPr>
                <w:rFonts w:eastAsia="仿宋_GB2312"/>
                <w:kern w:val="2"/>
              </w:rPr>
            </w:pPr>
            <w:r>
              <w:rPr>
                <w:rFonts w:eastAsia="仿宋_GB2312"/>
              </w:rPr>
              <w:t>100</w:t>
            </w:r>
          </w:p>
        </w:tc>
        <w:tc>
          <w:tcPr>
            <w:tcW w:w="554" w:type="pct"/>
            <w:shd w:val="clear" w:color="auto" w:fill="auto"/>
            <w:tcMar>
              <w:left w:w="51" w:type="dxa"/>
              <w:right w:w="51" w:type="dxa"/>
            </w:tcMar>
            <w:vAlign w:val="center"/>
          </w:tcPr>
          <w:p w14:paraId="68971D5C">
            <w:pPr>
              <w:overflowPunct w:val="0"/>
              <w:spacing w:line="280" w:lineRule="exact"/>
              <w:jc w:val="center"/>
              <w:rPr>
                <w:rFonts w:eastAsia="仿宋_GB2312"/>
                <w:kern w:val="2"/>
              </w:rPr>
            </w:pPr>
            <w:r>
              <w:rPr>
                <w:rFonts w:eastAsia="仿宋_GB2312"/>
              </w:rPr>
              <w:t>100</w:t>
            </w:r>
          </w:p>
        </w:tc>
        <w:tc>
          <w:tcPr>
            <w:tcW w:w="301" w:type="pct"/>
            <w:shd w:val="clear" w:color="auto" w:fill="auto"/>
            <w:tcMar>
              <w:left w:w="51" w:type="dxa"/>
              <w:right w:w="51" w:type="dxa"/>
            </w:tcMar>
            <w:vAlign w:val="center"/>
          </w:tcPr>
          <w:p w14:paraId="40882FDF">
            <w:pPr>
              <w:overflowPunct w:val="0"/>
              <w:spacing w:line="280" w:lineRule="exact"/>
              <w:jc w:val="center"/>
              <w:rPr>
                <w:rFonts w:eastAsia="仿宋_GB2312"/>
                <w:kern w:val="2"/>
              </w:rPr>
            </w:pPr>
            <w:r>
              <w:rPr>
                <w:rFonts w:eastAsia="仿宋_GB2312"/>
              </w:rPr>
              <w:t>约束性</w:t>
            </w:r>
          </w:p>
        </w:tc>
        <w:tc>
          <w:tcPr>
            <w:tcW w:w="500" w:type="pct"/>
            <w:shd w:val="clear" w:color="auto" w:fill="auto"/>
            <w:tcMar>
              <w:top w:w="0" w:type="dxa"/>
              <w:left w:w="51" w:type="dxa"/>
              <w:bottom w:w="0" w:type="dxa"/>
              <w:right w:w="51" w:type="dxa"/>
            </w:tcMar>
            <w:vAlign w:val="center"/>
          </w:tcPr>
          <w:p w14:paraId="6EDAD078">
            <w:pPr>
              <w:overflowPunct w:val="0"/>
              <w:spacing w:line="280" w:lineRule="exact"/>
              <w:jc w:val="center"/>
              <w:rPr>
                <w:rFonts w:eastAsia="仿宋_GB2312"/>
                <w:kern w:val="2"/>
              </w:rPr>
            </w:pPr>
            <w:r>
              <w:rPr>
                <w:rFonts w:eastAsia="仿宋_GB2312"/>
              </w:rPr>
              <w:t>农业农村局</w:t>
            </w:r>
          </w:p>
        </w:tc>
        <w:tc>
          <w:tcPr>
            <w:tcW w:w="1084" w:type="pct"/>
            <w:shd w:val="clear" w:color="auto" w:fill="auto"/>
            <w:tcMar>
              <w:top w:w="0" w:type="dxa"/>
              <w:left w:w="51" w:type="dxa"/>
              <w:bottom w:w="0" w:type="dxa"/>
              <w:right w:w="51" w:type="dxa"/>
            </w:tcMar>
            <w:vAlign w:val="center"/>
          </w:tcPr>
          <w:p w14:paraId="1E7CFCDA">
            <w:pPr>
              <w:overflowPunct w:val="0"/>
              <w:spacing w:line="280" w:lineRule="exact"/>
              <w:jc w:val="center"/>
              <w:rPr>
                <w:rFonts w:eastAsia="仿宋_GB2312"/>
                <w:kern w:val="2"/>
              </w:rPr>
            </w:pPr>
            <w:r>
              <w:rPr>
                <w:rFonts w:eastAsia="仿宋_GB2312"/>
              </w:rPr>
              <w:t>《靖江市国土空间生态保护和修复规划（2021—2035年）》</w:t>
            </w:r>
          </w:p>
        </w:tc>
      </w:tr>
      <w:tr w14:paraId="2695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continue"/>
            <w:tcMar>
              <w:left w:w="51" w:type="dxa"/>
              <w:right w:w="51" w:type="dxa"/>
            </w:tcMar>
            <w:vAlign w:val="center"/>
          </w:tcPr>
          <w:p w14:paraId="65F896A9">
            <w:pPr>
              <w:overflowPunct w:val="0"/>
              <w:spacing w:line="280" w:lineRule="exact"/>
              <w:jc w:val="center"/>
              <w:rPr>
                <w:rFonts w:eastAsia="仿宋_GB2312"/>
              </w:rPr>
            </w:pPr>
          </w:p>
        </w:tc>
        <w:tc>
          <w:tcPr>
            <w:tcW w:w="201" w:type="pct"/>
            <w:shd w:val="clear" w:color="auto" w:fill="auto"/>
            <w:tcMar>
              <w:left w:w="51" w:type="dxa"/>
              <w:right w:w="51" w:type="dxa"/>
            </w:tcMar>
            <w:vAlign w:val="center"/>
          </w:tcPr>
          <w:p w14:paraId="523B9962">
            <w:pPr>
              <w:overflowPunct w:val="0"/>
              <w:spacing w:line="280" w:lineRule="exact"/>
              <w:jc w:val="center"/>
              <w:rPr>
                <w:rFonts w:eastAsia="仿宋_GB2312"/>
                <w:kern w:val="2"/>
              </w:rPr>
            </w:pPr>
            <w:r>
              <w:rPr>
                <w:rFonts w:eastAsia="仿宋_GB2312"/>
              </w:rPr>
              <w:t>8</w:t>
            </w:r>
          </w:p>
        </w:tc>
        <w:tc>
          <w:tcPr>
            <w:tcW w:w="974" w:type="pct"/>
            <w:gridSpan w:val="2"/>
            <w:shd w:val="clear" w:color="auto" w:fill="auto"/>
            <w:tcMar>
              <w:left w:w="51" w:type="dxa"/>
              <w:right w:w="51" w:type="dxa"/>
            </w:tcMar>
            <w:vAlign w:val="center"/>
          </w:tcPr>
          <w:p w14:paraId="2A6C3FBB">
            <w:pPr>
              <w:overflowPunct w:val="0"/>
              <w:spacing w:line="280" w:lineRule="exact"/>
              <w:jc w:val="center"/>
              <w:rPr>
                <w:rFonts w:eastAsia="仿宋_GB2312"/>
                <w:kern w:val="2"/>
              </w:rPr>
            </w:pPr>
            <w:r>
              <w:rPr>
                <w:rFonts w:eastAsia="仿宋_GB2312"/>
              </w:rPr>
              <w:t>城市建成区绿化覆盖率</w:t>
            </w:r>
          </w:p>
        </w:tc>
        <w:tc>
          <w:tcPr>
            <w:tcW w:w="256" w:type="pct"/>
            <w:shd w:val="clear" w:color="auto" w:fill="auto"/>
            <w:tcMar>
              <w:left w:w="51" w:type="dxa"/>
              <w:right w:w="51" w:type="dxa"/>
            </w:tcMar>
            <w:vAlign w:val="center"/>
          </w:tcPr>
          <w:p w14:paraId="226A11DC">
            <w:pPr>
              <w:overflowPunct w:val="0"/>
              <w:spacing w:line="280" w:lineRule="exact"/>
              <w:jc w:val="center"/>
              <w:rPr>
                <w:rFonts w:eastAsia="仿宋_GB2312"/>
                <w:kern w:val="2"/>
              </w:rPr>
            </w:pPr>
            <w:r>
              <w:rPr>
                <w:rFonts w:eastAsia="仿宋_GB2312"/>
              </w:rPr>
              <w:t>%</w:t>
            </w:r>
          </w:p>
        </w:tc>
        <w:tc>
          <w:tcPr>
            <w:tcW w:w="419" w:type="pct"/>
            <w:shd w:val="clear" w:color="auto" w:fill="auto"/>
            <w:tcMar>
              <w:left w:w="51" w:type="dxa"/>
              <w:right w:w="51" w:type="dxa"/>
            </w:tcMar>
            <w:vAlign w:val="center"/>
          </w:tcPr>
          <w:p w14:paraId="2E3ABA0E">
            <w:pPr>
              <w:overflowPunct w:val="0"/>
              <w:spacing w:line="280" w:lineRule="exact"/>
              <w:jc w:val="center"/>
              <w:rPr>
                <w:rFonts w:eastAsia="仿宋_GB2312"/>
                <w:kern w:val="2"/>
              </w:rPr>
            </w:pPr>
            <w:r>
              <w:rPr>
                <w:rFonts w:eastAsia="仿宋_GB2312"/>
              </w:rPr>
              <w:t>44.41</w:t>
            </w:r>
          </w:p>
        </w:tc>
        <w:tc>
          <w:tcPr>
            <w:tcW w:w="517" w:type="pct"/>
            <w:shd w:val="clear" w:color="auto" w:fill="auto"/>
            <w:tcMar>
              <w:left w:w="51" w:type="dxa"/>
              <w:right w:w="51" w:type="dxa"/>
            </w:tcMar>
            <w:vAlign w:val="center"/>
          </w:tcPr>
          <w:p w14:paraId="080D8495">
            <w:pPr>
              <w:overflowPunct w:val="0"/>
              <w:spacing w:line="280" w:lineRule="exact"/>
              <w:jc w:val="center"/>
              <w:rPr>
                <w:rFonts w:eastAsia="仿宋_GB2312"/>
                <w:kern w:val="2"/>
              </w:rPr>
            </w:pPr>
            <w:r>
              <w:rPr>
                <w:rFonts w:eastAsia="仿宋_GB2312"/>
              </w:rPr>
              <w:t>44.64</w:t>
            </w:r>
          </w:p>
        </w:tc>
        <w:tc>
          <w:tcPr>
            <w:tcW w:w="554" w:type="pct"/>
            <w:shd w:val="clear" w:color="auto" w:fill="auto"/>
            <w:tcMar>
              <w:left w:w="51" w:type="dxa"/>
              <w:right w:w="51" w:type="dxa"/>
            </w:tcMar>
            <w:vAlign w:val="center"/>
          </w:tcPr>
          <w:p w14:paraId="09A781E2">
            <w:pPr>
              <w:overflowPunct w:val="0"/>
              <w:spacing w:line="280" w:lineRule="exact"/>
              <w:jc w:val="center"/>
              <w:rPr>
                <w:rFonts w:eastAsia="仿宋_GB2312"/>
                <w:kern w:val="2"/>
              </w:rPr>
            </w:pPr>
            <w:r>
              <w:rPr>
                <w:rFonts w:eastAsia="仿宋_GB2312"/>
              </w:rPr>
              <w:t>47.27</w:t>
            </w:r>
          </w:p>
        </w:tc>
        <w:tc>
          <w:tcPr>
            <w:tcW w:w="301" w:type="pct"/>
            <w:shd w:val="clear" w:color="auto" w:fill="auto"/>
            <w:tcMar>
              <w:left w:w="51" w:type="dxa"/>
              <w:right w:w="51" w:type="dxa"/>
            </w:tcMar>
            <w:vAlign w:val="center"/>
          </w:tcPr>
          <w:p w14:paraId="7A0D3499">
            <w:pPr>
              <w:overflowPunct w:val="0"/>
              <w:spacing w:line="280" w:lineRule="exact"/>
              <w:jc w:val="center"/>
              <w:rPr>
                <w:rFonts w:eastAsia="仿宋_GB2312"/>
                <w:kern w:val="2"/>
              </w:rPr>
            </w:pPr>
            <w:r>
              <w:rPr>
                <w:rFonts w:eastAsia="仿宋_GB2312"/>
              </w:rPr>
              <w:t>预期性</w:t>
            </w:r>
          </w:p>
        </w:tc>
        <w:tc>
          <w:tcPr>
            <w:tcW w:w="500" w:type="pct"/>
            <w:shd w:val="clear" w:color="auto" w:fill="auto"/>
            <w:tcMar>
              <w:top w:w="0" w:type="dxa"/>
              <w:left w:w="51" w:type="dxa"/>
              <w:bottom w:w="0" w:type="dxa"/>
              <w:right w:w="51" w:type="dxa"/>
            </w:tcMar>
            <w:vAlign w:val="center"/>
          </w:tcPr>
          <w:p w14:paraId="3F393D71">
            <w:pPr>
              <w:overflowPunct w:val="0"/>
              <w:spacing w:line="280" w:lineRule="exact"/>
              <w:jc w:val="center"/>
              <w:rPr>
                <w:rFonts w:eastAsia="仿宋_GB2312"/>
                <w:kern w:val="2"/>
              </w:rPr>
            </w:pPr>
            <w:r>
              <w:rPr>
                <w:rFonts w:eastAsia="仿宋_GB2312"/>
              </w:rPr>
              <w:t>住房和城乡建设局</w:t>
            </w:r>
          </w:p>
        </w:tc>
        <w:tc>
          <w:tcPr>
            <w:tcW w:w="1084" w:type="pct"/>
            <w:shd w:val="clear" w:color="auto" w:fill="auto"/>
            <w:tcMar>
              <w:top w:w="0" w:type="dxa"/>
              <w:left w:w="51" w:type="dxa"/>
              <w:bottom w:w="0" w:type="dxa"/>
              <w:right w:w="51" w:type="dxa"/>
            </w:tcMar>
            <w:vAlign w:val="center"/>
          </w:tcPr>
          <w:p w14:paraId="670B28C7">
            <w:pPr>
              <w:overflowPunct w:val="0"/>
              <w:spacing w:line="280" w:lineRule="exact"/>
              <w:jc w:val="center"/>
              <w:rPr>
                <w:rFonts w:eastAsia="仿宋_GB2312"/>
                <w:kern w:val="2"/>
              </w:rPr>
            </w:pPr>
            <w:r>
              <w:rPr>
                <w:rFonts w:eastAsia="仿宋_GB2312"/>
              </w:rPr>
              <w:t>《靖江市国土空间生态保护和修复规划（2021—2035年）》《2023靖江统计年鉴》</w:t>
            </w:r>
          </w:p>
        </w:tc>
      </w:tr>
      <w:tr w14:paraId="188F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restart"/>
            <w:tcMar>
              <w:left w:w="51" w:type="dxa"/>
              <w:right w:w="51" w:type="dxa"/>
            </w:tcMar>
            <w:vAlign w:val="center"/>
          </w:tcPr>
          <w:p w14:paraId="59753F9F">
            <w:pPr>
              <w:overflowPunct w:val="0"/>
              <w:spacing w:line="280" w:lineRule="exact"/>
              <w:jc w:val="center"/>
              <w:rPr>
                <w:rFonts w:eastAsia="仿宋_GB2312"/>
              </w:rPr>
            </w:pPr>
            <w:r>
              <w:rPr>
                <w:rFonts w:eastAsia="仿宋_GB2312"/>
              </w:rPr>
              <w:t>生物物种保护状况</w:t>
            </w:r>
          </w:p>
        </w:tc>
        <w:tc>
          <w:tcPr>
            <w:tcW w:w="201" w:type="pct"/>
            <w:tcMar>
              <w:left w:w="51" w:type="dxa"/>
              <w:right w:w="51" w:type="dxa"/>
            </w:tcMar>
            <w:vAlign w:val="center"/>
          </w:tcPr>
          <w:p w14:paraId="0F472958">
            <w:pPr>
              <w:overflowPunct w:val="0"/>
              <w:spacing w:line="280" w:lineRule="exact"/>
              <w:jc w:val="center"/>
              <w:rPr>
                <w:rFonts w:eastAsia="仿宋_GB2312"/>
              </w:rPr>
            </w:pPr>
            <w:r>
              <w:rPr>
                <w:rFonts w:eastAsia="仿宋_GB2312"/>
              </w:rPr>
              <w:t>9</w:t>
            </w:r>
          </w:p>
        </w:tc>
        <w:tc>
          <w:tcPr>
            <w:tcW w:w="974" w:type="pct"/>
            <w:gridSpan w:val="2"/>
            <w:tcMar>
              <w:left w:w="51" w:type="dxa"/>
              <w:right w:w="51" w:type="dxa"/>
            </w:tcMar>
            <w:vAlign w:val="center"/>
          </w:tcPr>
          <w:p w14:paraId="32FE2041">
            <w:pPr>
              <w:overflowPunct w:val="0"/>
              <w:spacing w:line="280" w:lineRule="exact"/>
              <w:jc w:val="center"/>
              <w:rPr>
                <w:rFonts w:eastAsia="仿宋_GB2312"/>
              </w:rPr>
            </w:pPr>
            <w:r>
              <w:rPr>
                <w:rFonts w:eastAsia="仿宋_GB2312"/>
              </w:rPr>
              <w:t>物种丰富度</w:t>
            </w:r>
          </w:p>
        </w:tc>
        <w:tc>
          <w:tcPr>
            <w:tcW w:w="256" w:type="pct"/>
            <w:tcMar>
              <w:left w:w="51" w:type="dxa"/>
              <w:right w:w="51" w:type="dxa"/>
            </w:tcMar>
            <w:vAlign w:val="center"/>
          </w:tcPr>
          <w:p w14:paraId="4A7AE4B4">
            <w:pPr>
              <w:overflowPunct w:val="0"/>
              <w:spacing w:line="280" w:lineRule="exact"/>
              <w:jc w:val="center"/>
              <w:rPr>
                <w:rFonts w:eastAsia="仿宋_GB2312"/>
              </w:rPr>
            </w:pPr>
            <w:r>
              <w:rPr>
                <w:rFonts w:eastAsia="仿宋_GB2312"/>
              </w:rPr>
              <w:t>种</w:t>
            </w:r>
          </w:p>
        </w:tc>
        <w:tc>
          <w:tcPr>
            <w:tcW w:w="419" w:type="pct"/>
            <w:tcMar>
              <w:left w:w="51" w:type="dxa"/>
              <w:right w:w="51" w:type="dxa"/>
            </w:tcMar>
            <w:vAlign w:val="center"/>
          </w:tcPr>
          <w:p w14:paraId="21D022A1">
            <w:pPr>
              <w:overflowPunct w:val="0"/>
              <w:spacing w:line="280" w:lineRule="exact"/>
              <w:jc w:val="center"/>
              <w:rPr>
                <w:rFonts w:eastAsia="仿宋_GB2312"/>
              </w:rPr>
            </w:pPr>
            <w:r>
              <w:rPr>
                <w:rFonts w:eastAsia="仿宋_GB2312"/>
              </w:rPr>
              <w:t>1321</w:t>
            </w:r>
          </w:p>
        </w:tc>
        <w:tc>
          <w:tcPr>
            <w:tcW w:w="517" w:type="pct"/>
            <w:tcMar>
              <w:left w:w="51" w:type="dxa"/>
              <w:right w:w="51" w:type="dxa"/>
            </w:tcMar>
            <w:vAlign w:val="center"/>
          </w:tcPr>
          <w:p w14:paraId="4597A23F">
            <w:pPr>
              <w:overflowPunct w:val="0"/>
              <w:spacing w:line="280" w:lineRule="exact"/>
              <w:jc w:val="center"/>
              <w:rPr>
                <w:rFonts w:eastAsia="仿宋_GB2312"/>
              </w:rPr>
            </w:pPr>
            <w:r>
              <w:rPr>
                <w:rFonts w:hint="eastAsia" w:eastAsia="仿宋_GB2312"/>
              </w:rPr>
              <w:t>稳中有升</w:t>
            </w:r>
          </w:p>
        </w:tc>
        <w:tc>
          <w:tcPr>
            <w:tcW w:w="554" w:type="pct"/>
            <w:tcMar>
              <w:left w:w="51" w:type="dxa"/>
              <w:right w:w="51" w:type="dxa"/>
            </w:tcMar>
            <w:vAlign w:val="center"/>
          </w:tcPr>
          <w:p w14:paraId="19CB8E6E">
            <w:pPr>
              <w:overflowPunct w:val="0"/>
              <w:spacing w:line="280" w:lineRule="exact"/>
              <w:jc w:val="center"/>
              <w:rPr>
                <w:rFonts w:eastAsia="仿宋_GB2312"/>
              </w:rPr>
            </w:pPr>
            <w:r>
              <w:rPr>
                <w:rFonts w:hint="eastAsia" w:eastAsia="仿宋_GB2312"/>
              </w:rPr>
              <w:t>稳中有升</w:t>
            </w:r>
          </w:p>
        </w:tc>
        <w:tc>
          <w:tcPr>
            <w:tcW w:w="301" w:type="pct"/>
            <w:tcMar>
              <w:left w:w="51" w:type="dxa"/>
              <w:right w:w="51" w:type="dxa"/>
            </w:tcMar>
            <w:vAlign w:val="center"/>
          </w:tcPr>
          <w:p w14:paraId="66A772B2">
            <w:pPr>
              <w:overflowPunct w:val="0"/>
              <w:spacing w:line="280" w:lineRule="exact"/>
              <w:jc w:val="center"/>
              <w:rPr>
                <w:rFonts w:eastAsia="仿宋_GB2312"/>
              </w:rPr>
            </w:pPr>
            <w:r>
              <w:rPr>
                <w:rFonts w:eastAsia="仿宋_GB2312"/>
              </w:rPr>
              <w:t>预期性</w:t>
            </w:r>
          </w:p>
        </w:tc>
        <w:tc>
          <w:tcPr>
            <w:tcW w:w="500" w:type="pct"/>
            <w:tcMar>
              <w:top w:w="0" w:type="dxa"/>
              <w:left w:w="51" w:type="dxa"/>
              <w:bottom w:w="0" w:type="dxa"/>
              <w:right w:w="51" w:type="dxa"/>
            </w:tcMar>
            <w:vAlign w:val="center"/>
          </w:tcPr>
          <w:p w14:paraId="40EC88F3">
            <w:pPr>
              <w:overflowPunct w:val="0"/>
              <w:spacing w:line="280" w:lineRule="exact"/>
              <w:jc w:val="center"/>
              <w:rPr>
                <w:rFonts w:eastAsia="仿宋_GB2312"/>
              </w:rPr>
            </w:pPr>
            <w:r>
              <w:rPr>
                <w:rFonts w:eastAsia="仿宋_GB2312"/>
              </w:rPr>
              <w:t>生态环境局</w:t>
            </w:r>
          </w:p>
        </w:tc>
        <w:tc>
          <w:tcPr>
            <w:tcW w:w="1084" w:type="pct"/>
            <w:tcMar>
              <w:top w:w="0" w:type="dxa"/>
              <w:left w:w="51" w:type="dxa"/>
              <w:bottom w:w="0" w:type="dxa"/>
              <w:right w:w="51" w:type="dxa"/>
            </w:tcMar>
            <w:vAlign w:val="center"/>
          </w:tcPr>
          <w:p w14:paraId="5EE0095C">
            <w:pPr>
              <w:overflowPunct w:val="0"/>
              <w:spacing w:line="280" w:lineRule="exact"/>
              <w:jc w:val="center"/>
              <w:rPr>
                <w:rFonts w:eastAsia="仿宋_GB2312"/>
              </w:rPr>
            </w:pPr>
            <w:r>
              <w:rPr>
                <w:rFonts w:eastAsia="仿宋_GB2312"/>
              </w:rPr>
              <w:t>靖江市生物多样性本底调查</w:t>
            </w:r>
          </w:p>
        </w:tc>
      </w:tr>
      <w:tr w14:paraId="298D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continue"/>
            <w:tcMar>
              <w:left w:w="51" w:type="dxa"/>
              <w:right w:w="51" w:type="dxa"/>
            </w:tcMar>
            <w:vAlign w:val="center"/>
          </w:tcPr>
          <w:p w14:paraId="420A0A05">
            <w:pPr>
              <w:overflowPunct w:val="0"/>
              <w:spacing w:line="280" w:lineRule="exact"/>
              <w:jc w:val="center"/>
              <w:rPr>
                <w:rFonts w:eastAsia="仿宋_GB2312"/>
              </w:rPr>
            </w:pPr>
          </w:p>
        </w:tc>
        <w:tc>
          <w:tcPr>
            <w:tcW w:w="201" w:type="pct"/>
            <w:tcMar>
              <w:left w:w="51" w:type="dxa"/>
              <w:right w:w="51" w:type="dxa"/>
            </w:tcMar>
            <w:vAlign w:val="center"/>
          </w:tcPr>
          <w:p w14:paraId="36639CAE">
            <w:pPr>
              <w:overflowPunct w:val="0"/>
              <w:spacing w:line="280" w:lineRule="exact"/>
              <w:jc w:val="center"/>
              <w:rPr>
                <w:rFonts w:eastAsia="仿宋_GB2312"/>
              </w:rPr>
            </w:pPr>
            <w:r>
              <w:rPr>
                <w:rFonts w:eastAsia="仿宋_GB2312"/>
              </w:rPr>
              <w:t>10</w:t>
            </w:r>
          </w:p>
        </w:tc>
        <w:tc>
          <w:tcPr>
            <w:tcW w:w="974" w:type="pct"/>
            <w:gridSpan w:val="2"/>
            <w:tcMar>
              <w:left w:w="51" w:type="dxa"/>
              <w:right w:w="51" w:type="dxa"/>
            </w:tcMar>
            <w:vAlign w:val="center"/>
          </w:tcPr>
          <w:p w14:paraId="69DA805C">
            <w:pPr>
              <w:overflowPunct w:val="0"/>
              <w:spacing w:line="280" w:lineRule="exact"/>
              <w:jc w:val="center"/>
              <w:rPr>
                <w:rFonts w:eastAsia="仿宋_GB2312"/>
              </w:rPr>
            </w:pPr>
            <w:r>
              <w:rPr>
                <w:rFonts w:eastAsia="仿宋_GB2312"/>
              </w:rPr>
              <w:t>重点生物物种种数保护率</w:t>
            </w:r>
          </w:p>
        </w:tc>
        <w:tc>
          <w:tcPr>
            <w:tcW w:w="256" w:type="pct"/>
            <w:tcMar>
              <w:left w:w="51" w:type="dxa"/>
              <w:right w:w="51" w:type="dxa"/>
            </w:tcMar>
            <w:vAlign w:val="center"/>
          </w:tcPr>
          <w:p w14:paraId="519F65C4">
            <w:pPr>
              <w:overflowPunct w:val="0"/>
              <w:spacing w:line="280" w:lineRule="exact"/>
              <w:jc w:val="center"/>
              <w:rPr>
                <w:rFonts w:eastAsia="仿宋_GB2312"/>
              </w:rPr>
            </w:pPr>
            <w:r>
              <w:rPr>
                <w:rFonts w:eastAsia="仿宋_GB2312"/>
              </w:rPr>
              <w:t>%</w:t>
            </w:r>
          </w:p>
        </w:tc>
        <w:tc>
          <w:tcPr>
            <w:tcW w:w="419" w:type="pct"/>
            <w:tcMar>
              <w:left w:w="51" w:type="dxa"/>
              <w:right w:w="51" w:type="dxa"/>
            </w:tcMar>
            <w:vAlign w:val="center"/>
          </w:tcPr>
          <w:p w14:paraId="58EFB0BF">
            <w:pPr>
              <w:overflowPunct w:val="0"/>
              <w:spacing w:line="280" w:lineRule="exact"/>
              <w:jc w:val="center"/>
              <w:rPr>
                <w:rFonts w:eastAsia="仿宋_GB2312"/>
              </w:rPr>
            </w:pPr>
            <w:r>
              <w:rPr>
                <w:rFonts w:eastAsia="仿宋_GB2312"/>
              </w:rPr>
              <w:t>100</w:t>
            </w:r>
          </w:p>
        </w:tc>
        <w:tc>
          <w:tcPr>
            <w:tcW w:w="517" w:type="pct"/>
            <w:tcMar>
              <w:left w:w="51" w:type="dxa"/>
              <w:right w:w="51" w:type="dxa"/>
            </w:tcMar>
            <w:vAlign w:val="center"/>
          </w:tcPr>
          <w:p w14:paraId="24AF24AB">
            <w:pPr>
              <w:overflowPunct w:val="0"/>
              <w:spacing w:line="280" w:lineRule="exact"/>
              <w:jc w:val="center"/>
              <w:rPr>
                <w:rFonts w:eastAsia="仿宋_GB2312"/>
              </w:rPr>
            </w:pPr>
            <w:r>
              <w:rPr>
                <w:rFonts w:eastAsia="仿宋_GB2312"/>
              </w:rPr>
              <w:t>100</w:t>
            </w:r>
          </w:p>
        </w:tc>
        <w:tc>
          <w:tcPr>
            <w:tcW w:w="554" w:type="pct"/>
            <w:tcMar>
              <w:left w:w="51" w:type="dxa"/>
              <w:right w:w="51" w:type="dxa"/>
            </w:tcMar>
            <w:vAlign w:val="center"/>
          </w:tcPr>
          <w:p w14:paraId="68D01412">
            <w:pPr>
              <w:overflowPunct w:val="0"/>
              <w:spacing w:line="280" w:lineRule="exact"/>
              <w:jc w:val="center"/>
              <w:rPr>
                <w:rFonts w:eastAsia="仿宋_GB2312"/>
              </w:rPr>
            </w:pPr>
            <w:r>
              <w:rPr>
                <w:rFonts w:eastAsia="仿宋_GB2312"/>
              </w:rPr>
              <w:t>100</w:t>
            </w:r>
          </w:p>
        </w:tc>
        <w:tc>
          <w:tcPr>
            <w:tcW w:w="301" w:type="pct"/>
            <w:tcMar>
              <w:left w:w="51" w:type="dxa"/>
              <w:right w:w="51" w:type="dxa"/>
            </w:tcMar>
            <w:vAlign w:val="center"/>
          </w:tcPr>
          <w:p w14:paraId="17E3EFB0">
            <w:pPr>
              <w:overflowPunct w:val="0"/>
              <w:spacing w:line="280" w:lineRule="exact"/>
              <w:jc w:val="center"/>
              <w:rPr>
                <w:rFonts w:eastAsia="仿宋_GB2312"/>
              </w:rPr>
            </w:pPr>
            <w:r>
              <w:rPr>
                <w:rFonts w:eastAsia="仿宋_GB2312"/>
              </w:rPr>
              <w:t>约束性</w:t>
            </w:r>
          </w:p>
        </w:tc>
        <w:tc>
          <w:tcPr>
            <w:tcW w:w="500" w:type="pct"/>
            <w:tcMar>
              <w:top w:w="0" w:type="dxa"/>
              <w:left w:w="51" w:type="dxa"/>
              <w:bottom w:w="0" w:type="dxa"/>
              <w:right w:w="51" w:type="dxa"/>
            </w:tcMar>
            <w:vAlign w:val="center"/>
          </w:tcPr>
          <w:p w14:paraId="346FC29B">
            <w:pPr>
              <w:overflowPunct w:val="0"/>
              <w:spacing w:line="280" w:lineRule="exact"/>
              <w:jc w:val="center"/>
              <w:rPr>
                <w:rFonts w:eastAsia="仿宋_GB2312"/>
              </w:rPr>
            </w:pPr>
            <w:r>
              <w:rPr>
                <w:rFonts w:eastAsia="仿宋_GB2312"/>
              </w:rPr>
              <w:t>生态环境局</w:t>
            </w:r>
          </w:p>
        </w:tc>
        <w:tc>
          <w:tcPr>
            <w:tcW w:w="1084" w:type="pct"/>
            <w:tcMar>
              <w:top w:w="0" w:type="dxa"/>
              <w:left w:w="51" w:type="dxa"/>
              <w:bottom w:w="0" w:type="dxa"/>
              <w:right w:w="51" w:type="dxa"/>
            </w:tcMar>
            <w:vAlign w:val="center"/>
          </w:tcPr>
          <w:p w14:paraId="4F35A904">
            <w:pPr>
              <w:overflowPunct w:val="0"/>
              <w:spacing w:line="280" w:lineRule="exact"/>
              <w:jc w:val="center"/>
              <w:rPr>
                <w:rFonts w:eastAsia="仿宋_GB2312"/>
              </w:rPr>
            </w:pPr>
            <w:r>
              <w:rPr>
                <w:rFonts w:eastAsia="仿宋_GB2312"/>
              </w:rPr>
              <w:t>《靖江市“十四五”生态环境保护规划》</w:t>
            </w:r>
          </w:p>
        </w:tc>
      </w:tr>
      <w:tr w14:paraId="0381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continue"/>
            <w:tcMar>
              <w:left w:w="51" w:type="dxa"/>
              <w:right w:w="51" w:type="dxa"/>
            </w:tcMar>
            <w:vAlign w:val="center"/>
          </w:tcPr>
          <w:p w14:paraId="71681269">
            <w:pPr>
              <w:overflowPunct w:val="0"/>
              <w:spacing w:line="280" w:lineRule="exact"/>
              <w:jc w:val="center"/>
              <w:rPr>
                <w:rFonts w:eastAsia="仿宋_GB2312"/>
              </w:rPr>
            </w:pPr>
          </w:p>
        </w:tc>
        <w:tc>
          <w:tcPr>
            <w:tcW w:w="201" w:type="pct"/>
            <w:tcMar>
              <w:left w:w="51" w:type="dxa"/>
              <w:right w:w="51" w:type="dxa"/>
            </w:tcMar>
            <w:vAlign w:val="center"/>
          </w:tcPr>
          <w:p w14:paraId="5296B4A7">
            <w:pPr>
              <w:overflowPunct w:val="0"/>
              <w:spacing w:line="280" w:lineRule="exact"/>
              <w:jc w:val="center"/>
              <w:rPr>
                <w:rFonts w:eastAsia="仿宋_GB2312"/>
              </w:rPr>
            </w:pPr>
            <w:r>
              <w:rPr>
                <w:rFonts w:eastAsia="仿宋_GB2312"/>
              </w:rPr>
              <w:t>11</w:t>
            </w:r>
          </w:p>
        </w:tc>
        <w:tc>
          <w:tcPr>
            <w:tcW w:w="974" w:type="pct"/>
            <w:gridSpan w:val="2"/>
            <w:tcMar>
              <w:left w:w="51" w:type="dxa"/>
              <w:right w:w="51" w:type="dxa"/>
            </w:tcMar>
            <w:vAlign w:val="center"/>
          </w:tcPr>
          <w:p w14:paraId="18A3EC7B">
            <w:pPr>
              <w:overflowPunct w:val="0"/>
              <w:spacing w:line="280" w:lineRule="exact"/>
              <w:jc w:val="center"/>
              <w:rPr>
                <w:rFonts w:eastAsia="仿宋_GB2312"/>
              </w:rPr>
            </w:pPr>
            <w:r>
              <w:rPr>
                <w:rFonts w:eastAsia="仿宋_GB2312"/>
              </w:rPr>
              <w:t>长江江豚种群数量</w:t>
            </w:r>
            <w:r>
              <w:rPr>
                <w:b/>
                <w:bCs/>
              </w:rPr>
              <w:t>※</w:t>
            </w:r>
          </w:p>
        </w:tc>
        <w:tc>
          <w:tcPr>
            <w:tcW w:w="256" w:type="pct"/>
            <w:tcMar>
              <w:left w:w="51" w:type="dxa"/>
              <w:right w:w="51" w:type="dxa"/>
            </w:tcMar>
            <w:vAlign w:val="center"/>
          </w:tcPr>
          <w:p w14:paraId="7B5831B1">
            <w:pPr>
              <w:overflowPunct w:val="0"/>
              <w:spacing w:line="280" w:lineRule="exact"/>
              <w:jc w:val="center"/>
              <w:rPr>
                <w:rFonts w:eastAsia="仿宋_GB2312"/>
              </w:rPr>
            </w:pPr>
            <w:r>
              <w:rPr>
                <w:rFonts w:eastAsia="仿宋_GB2312"/>
              </w:rPr>
              <w:t>头</w:t>
            </w:r>
          </w:p>
        </w:tc>
        <w:tc>
          <w:tcPr>
            <w:tcW w:w="419" w:type="pct"/>
            <w:tcMar>
              <w:left w:w="51" w:type="dxa"/>
              <w:right w:w="51" w:type="dxa"/>
            </w:tcMar>
            <w:vAlign w:val="center"/>
          </w:tcPr>
          <w:p w14:paraId="05DE09FB">
            <w:pPr>
              <w:overflowPunct w:val="0"/>
              <w:spacing w:line="280" w:lineRule="exact"/>
              <w:jc w:val="center"/>
              <w:rPr>
                <w:rFonts w:eastAsia="仿宋_GB2312"/>
              </w:rPr>
            </w:pPr>
            <w:r>
              <w:rPr>
                <w:rFonts w:eastAsia="仿宋_GB2312"/>
              </w:rPr>
              <w:t>≈40</w:t>
            </w:r>
          </w:p>
        </w:tc>
        <w:tc>
          <w:tcPr>
            <w:tcW w:w="517" w:type="pct"/>
            <w:tcMar>
              <w:left w:w="51" w:type="dxa"/>
              <w:right w:w="51" w:type="dxa"/>
            </w:tcMar>
            <w:vAlign w:val="center"/>
          </w:tcPr>
          <w:p w14:paraId="009B8434">
            <w:pPr>
              <w:overflowPunct w:val="0"/>
              <w:spacing w:line="280" w:lineRule="exact"/>
              <w:jc w:val="center"/>
              <w:rPr>
                <w:rFonts w:eastAsia="仿宋_GB2312"/>
              </w:rPr>
            </w:pPr>
            <w:r>
              <w:rPr>
                <w:rFonts w:hint="eastAsia" w:eastAsia="仿宋_GB2312"/>
              </w:rPr>
              <w:t>稳中有升</w:t>
            </w:r>
          </w:p>
        </w:tc>
        <w:tc>
          <w:tcPr>
            <w:tcW w:w="554" w:type="pct"/>
            <w:tcMar>
              <w:left w:w="51" w:type="dxa"/>
              <w:right w:w="51" w:type="dxa"/>
            </w:tcMar>
            <w:vAlign w:val="center"/>
          </w:tcPr>
          <w:p w14:paraId="6FCEAA67">
            <w:pPr>
              <w:overflowPunct w:val="0"/>
              <w:spacing w:line="280" w:lineRule="exact"/>
              <w:jc w:val="center"/>
              <w:rPr>
                <w:rFonts w:eastAsia="仿宋_GB2312"/>
              </w:rPr>
            </w:pPr>
            <w:r>
              <w:rPr>
                <w:rFonts w:eastAsia="仿宋_GB2312"/>
              </w:rPr>
              <w:t>显著增加</w:t>
            </w:r>
          </w:p>
        </w:tc>
        <w:tc>
          <w:tcPr>
            <w:tcW w:w="301" w:type="pct"/>
            <w:tcMar>
              <w:left w:w="51" w:type="dxa"/>
              <w:right w:w="51" w:type="dxa"/>
            </w:tcMar>
            <w:vAlign w:val="center"/>
          </w:tcPr>
          <w:p w14:paraId="480CA434">
            <w:pPr>
              <w:overflowPunct w:val="0"/>
              <w:spacing w:line="280" w:lineRule="exact"/>
              <w:jc w:val="center"/>
              <w:rPr>
                <w:rFonts w:eastAsia="仿宋_GB2312"/>
              </w:rPr>
            </w:pPr>
            <w:r>
              <w:rPr>
                <w:rFonts w:eastAsia="仿宋_GB2312"/>
              </w:rPr>
              <w:t>预期性</w:t>
            </w:r>
          </w:p>
        </w:tc>
        <w:tc>
          <w:tcPr>
            <w:tcW w:w="500" w:type="pct"/>
            <w:tcMar>
              <w:top w:w="0" w:type="dxa"/>
              <w:left w:w="51" w:type="dxa"/>
              <w:bottom w:w="0" w:type="dxa"/>
              <w:right w:w="51" w:type="dxa"/>
            </w:tcMar>
            <w:vAlign w:val="center"/>
          </w:tcPr>
          <w:p w14:paraId="4AFAEAAA">
            <w:pPr>
              <w:overflowPunct w:val="0"/>
              <w:spacing w:line="280" w:lineRule="exact"/>
              <w:jc w:val="center"/>
              <w:rPr>
                <w:rFonts w:eastAsia="仿宋_GB2312"/>
              </w:rPr>
            </w:pPr>
            <w:r>
              <w:rPr>
                <w:rFonts w:eastAsia="仿宋_GB2312"/>
              </w:rPr>
              <w:t>生态环境局</w:t>
            </w:r>
          </w:p>
        </w:tc>
        <w:tc>
          <w:tcPr>
            <w:tcW w:w="1084" w:type="pct"/>
            <w:tcMar>
              <w:top w:w="0" w:type="dxa"/>
              <w:left w:w="51" w:type="dxa"/>
              <w:bottom w:w="0" w:type="dxa"/>
              <w:right w:w="51" w:type="dxa"/>
            </w:tcMar>
            <w:vAlign w:val="center"/>
          </w:tcPr>
          <w:p w14:paraId="2FA3B9D0">
            <w:pPr>
              <w:overflowPunct w:val="0"/>
              <w:spacing w:line="280" w:lineRule="exact"/>
              <w:jc w:val="center"/>
              <w:rPr>
                <w:rFonts w:eastAsia="仿宋_GB2312"/>
              </w:rPr>
            </w:pPr>
            <w:r>
              <w:rPr>
                <w:rFonts w:eastAsia="仿宋_GB2312"/>
              </w:rPr>
              <w:t>长江靖江段长江江豚专项调查、《2023年靖江市国民经济和社会发展统计公报》</w:t>
            </w:r>
          </w:p>
        </w:tc>
      </w:tr>
      <w:tr w14:paraId="7B7F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restart"/>
            <w:tcMar>
              <w:left w:w="51" w:type="dxa"/>
              <w:right w:w="51" w:type="dxa"/>
            </w:tcMar>
            <w:vAlign w:val="center"/>
          </w:tcPr>
          <w:p w14:paraId="4536121E">
            <w:pPr>
              <w:overflowPunct w:val="0"/>
              <w:spacing w:line="280" w:lineRule="exact"/>
              <w:jc w:val="center"/>
              <w:rPr>
                <w:rFonts w:eastAsia="仿宋_GB2312"/>
              </w:rPr>
            </w:pPr>
            <w:r>
              <w:rPr>
                <w:rFonts w:eastAsia="仿宋_GB2312"/>
              </w:rPr>
              <w:t>生物多样性观测能力</w:t>
            </w:r>
          </w:p>
        </w:tc>
        <w:tc>
          <w:tcPr>
            <w:tcW w:w="201" w:type="pct"/>
            <w:tcMar>
              <w:left w:w="51" w:type="dxa"/>
              <w:right w:w="51" w:type="dxa"/>
            </w:tcMar>
            <w:vAlign w:val="center"/>
          </w:tcPr>
          <w:p w14:paraId="79146638">
            <w:pPr>
              <w:overflowPunct w:val="0"/>
              <w:spacing w:line="280" w:lineRule="exact"/>
              <w:jc w:val="center"/>
              <w:rPr>
                <w:rFonts w:eastAsia="仿宋_GB2312"/>
              </w:rPr>
            </w:pPr>
            <w:r>
              <w:rPr>
                <w:rFonts w:eastAsia="仿宋_GB2312"/>
              </w:rPr>
              <w:t>12</w:t>
            </w:r>
          </w:p>
        </w:tc>
        <w:tc>
          <w:tcPr>
            <w:tcW w:w="974" w:type="pct"/>
            <w:gridSpan w:val="2"/>
            <w:tcMar>
              <w:left w:w="51" w:type="dxa"/>
              <w:right w:w="51" w:type="dxa"/>
            </w:tcMar>
            <w:vAlign w:val="center"/>
          </w:tcPr>
          <w:p w14:paraId="4669F4A4">
            <w:pPr>
              <w:overflowPunct w:val="0"/>
              <w:spacing w:line="280" w:lineRule="exact"/>
              <w:jc w:val="center"/>
              <w:rPr>
                <w:rFonts w:eastAsia="仿宋_GB2312"/>
              </w:rPr>
            </w:pPr>
            <w:r>
              <w:rPr>
                <w:rFonts w:hint="eastAsia" w:eastAsia="仿宋_GB2312"/>
              </w:rPr>
              <w:t>马洲岛生物多样性观测站建设※</w:t>
            </w:r>
          </w:p>
        </w:tc>
        <w:tc>
          <w:tcPr>
            <w:tcW w:w="256" w:type="pct"/>
            <w:tcMar>
              <w:left w:w="51" w:type="dxa"/>
              <w:right w:w="51" w:type="dxa"/>
            </w:tcMar>
            <w:vAlign w:val="center"/>
          </w:tcPr>
          <w:p w14:paraId="4ECABE4F">
            <w:pPr>
              <w:overflowPunct w:val="0"/>
              <w:spacing w:line="280" w:lineRule="exact"/>
              <w:jc w:val="center"/>
              <w:rPr>
                <w:rFonts w:eastAsia="仿宋_GB2312"/>
              </w:rPr>
            </w:pPr>
            <w:r>
              <w:rPr>
                <w:rFonts w:eastAsia="仿宋_GB2312"/>
              </w:rPr>
              <w:t>/</w:t>
            </w:r>
          </w:p>
        </w:tc>
        <w:tc>
          <w:tcPr>
            <w:tcW w:w="419" w:type="pct"/>
            <w:tcMar>
              <w:left w:w="51" w:type="dxa"/>
              <w:right w:w="51" w:type="dxa"/>
            </w:tcMar>
            <w:vAlign w:val="center"/>
          </w:tcPr>
          <w:p w14:paraId="603670F5">
            <w:pPr>
              <w:overflowPunct w:val="0"/>
              <w:spacing w:line="280" w:lineRule="exact"/>
              <w:jc w:val="center"/>
              <w:rPr>
                <w:rFonts w:eastAsia="仿宋_GB2312"/>
              </w:rPr>
            </w:pPr>
            <w:r>
              <w:rPr>
                <w:rFonts w:hint="eastAsia" w:eastAsia="仿宋_GB2312"/>
              </w:rPr>
              <w:t>基本建成</w:t>
            </w:r>
          </w:p>
        </w:tc>
        <w:tc>
          <w:tcPr>
            <w:tcW w:w="517" w:type="pct"/>
            <w:tcMar>
              <w:left w:w="51" w:type="dxa"/>
              <w:right w:w="51" w:type="dxa"/>
            </w:tcMar>
            <w:vAlign w:val="center"/>
          </w:tcPr>
          <w:p w14:paraId="41E1D079">
            <w:pPr>
              <w:overflowPunct w:val="0"/>
              <w:spacing w:line="280" w:lineRule="exact"/>
              <w:jc w:val="center"/>
              <w:rPr>
                <w:rFonts w:eastAsia="仿宋_GB2312"/>
              </w:rPr>
            </w:pPr>
            <w:r>
              <w:rPr>
                <w:rFonts w:hint="eastAsia" w:eastAsia="仿宋_GB2312"/>
              </w:rPr>
              <w:t>达到省级监测站水平</w:t>
            </w:r>
          </w:p>
        </w:tc>
        <w:tc>
          <w:tcPr>
            <w:tcW w:w="554" w:type="pct"/>
            <w:tcMar>
              <w:left w:w="51" w:type="dxa"/>
              <w:right w:w="51" w:type="dxa"/>
            </w:tcMar>
            <w:vAlign w:val="center"/>
          </w:tcPr>
          <w:p w14:paraId="30924564">
            <w:pPr>
              <w:overflowPunct w:val="0"/>
              <w:spacing w:line="280" w:lineRule="exact"/>
              <w:jc w:val="center"/>
              <w:rPr>
                <w:rFonts w:eastAsia="仿宋_GB2312"/>
              </w:rPr>
            </w:pPr>
            <w:r>
              <w:rPr>
                <w:rFonts w:hint="eastAsia" w:eastAsia="仿宋_GB2312"/>
              </w:rPr>
              <w:t>达到国家监测站水平</w:t>
            </w:r>
          </w:p>
        </w:tc>
        <w:tc>
          <w:tcPr>
            <w:tcW w:w="301" w:type="pct"/>
            <w:tcMar>
              <w:left w:w="51" w:type="dxa"/>
              <w:right w:w="51" w:type="dxa"/>
            </w:tcMar>
            <w:vAlign w:val="center"/>
          </w:tcPr>
          <w:p w14:paraId="3F6EE121">
            <w:pPr>
              <w:overflowPunct w:val="0"/>
              <w:spacing w:line="280" w:lineRule="exact"/>
              <w:jc w:val="center"/>
              <w:rPr>
                <w:rFonts w:eastAsia="仿宋_GB2312"/>
              </w:rPr>
            </w:pPr>
            <w:r>
              <w:rPr>
                <w:rFonts w:eastAsia="仿宋_GB2312"/>
              </w:rPr>
              <w:t>预期性</w:t>
            </w:r>
          </w:p>
        </w:tc>
        <w:tc>
          <w:tcPr>
            <w:tcW w:w="500" w:type="pct"/>
            <w:tcMar>
              <w:top w:w="0" w:type="dxa"/>
              <w:left w:w="51" w:type="dxa"/>
              <w:bottom w:w="0" w:type="dxa"/>
              <w:right w:w="51" w:type="dxa"/>
            </w:tcMar>
            <w:vAlign w:val="center"/>
          </w:tcPr>
          <w:p w14:paraId="7FCA40CD">
            <w:pPr>
              <w:overflowPunct w:val="0"/>
              <w:spacing w:line="280" w:lineRule="exact"/>
              <w:jc w:val="center"/>
              <w:rPr>
                <w:rFonts w:eastAsia="仿宋_GB2312"/>
              </w:rPr>
            </w:pPr>
            <w:r>
              <w:rPr>
                <w:rFonts w:eastAsia="仿宋_GB2312"/>
              </w:rPr>
              <w:t>生态环境局</w:t>
            </w:r>
          </w:p>
        </w:tc>
        <w:tc>
          <w:tcPr>
            <w:tcW w:w="1084" w:type="pct"/>
            <w:tcMar>
              <w:top w:w="0" w:type="dxa"/>
              <w:left w:w="51" w:type="dxa"/>
              <w:bottom w:w="0" w:type="dxa"/>
              <w:right w:w="51" w:type="dxa"/>
            </w:tcMar>
            <w:vAlign w:val="center"/>
          </w:tcPr>
          <w:p w14:paraId="4907C6D0">
            <w:pPr>
              <w:overflowPunct w:val="0"/>
              <w:spacing w:line="280" w:lineRule="exact"/>
              <w:jc w:val="center"/>
              <w:rPr>
                <w:rFonts w:eastAsia="仿宋_GB2312"/>
              </w:rPr>
            </w:pPr>
            <w:r>
              <w:rPr>
                <w:rFonts w:hint="eastAsia" w:eastAsia="仿宋_GB2312"/>
              </w:rPr>
              <w:t>《靖江马洲岛生态岛试验区建设实施方案》</w:t>
            </w:r>
          </w:p>
        </w:tc>
      </w:tr>
      <w:tr w14:paraId="5874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9" w:type="pct"/>
            <w:vMerge w:val="continue"/>
            <w:tcMar>
              <w:left w:w="51" w:type="dxa"/>
              <w:right w:w="51" w:type="dxa"/>
            </w:tcMar>
            <w:vAlign w:val="center"/>
          </w:tcPr>
          <w:p w14:paraId="21BBC919">
            <w:pPr>
              <w:overflowPunct w:val="0"/>
              <w:spacing w:line="280" w:lineRule="exact"/>
              <w:jc w:val="center"/>
              <w:rPr>
                <w:rFonts w:eastAsia="仿宋_GB2312"/>
              </w:rPr>
            </w:pPr>
          </w:p>
        </w:tc>
        <w:tc>
          <w:tcPr>
            <w:tcW w:w="201" w:type="pct"/>
            <w:tcMar>
              <w:left w:w="51" w:type="dxa"/>
              <w:right w:w="51" w:type="dxa"/>
            </w:tcMar>
            <w:vAlign w:val="center"/>
          </w:tcPr>
          <w:p w14:paraId="7B55B50C">
            <w:pPr>
              <w:overflowPunct w:val="0"/>
              <w:spacing w:line="280" w:lineRule="exact"/>
              <w:jc w:val="center"/>
              <w:rPr>
                <w:rFonts w:eastAsia="仿宋_GB2312"/>
              </w:rPr>
            </w:pPr>
            <w:r>
              <w:rPr>
                <w:rFonts w:eastAsia="仿宋_GB2312"/>
              </w:rPr>
              <w:t>13</w:t>
            </w:r>
          </w:p>
        </w:tc>
        <w:tc>
          <w:tcPr>
            <w:tcW w:w="974" w:type="pct"/>
            <w:gridSpan w:val="2"/>
            <w:tcMar>
              <w:left w:w="51" w:type="dxa"/>
              <w:right w:w="51" w:type="dxa"/>
            </w:tcMar>
            <w:vAlign w:val="center"/>
          </w:tcPr>
          <w:p w14:paraId="0C02ECE4">
            <w:pPr>
              <w:overflowPunct w:val="0"/>
              <w:spacing w:line="280" w:lineRule="exact"/>
              <w:jc w:val="center"/>
              <w:rPr>
                <w:rFonts w:eastAsia="仿宋_GB2312"/>
              </w:rPr>
            </w:pPr>
            <w:r>
              <w:rPr>
                <w:rFonts w:eastAsia="仿宋_GB2312"/>
              </w:rPr>
              <w:t>长江江豚</w:t>
            </w:r>
            <w:r>
              <w:rPr>
                <w:rFonts w:hint="eastAsia" w:eastAsia="仿宋_GB2312"/>
              </w:rPr>
              <w:t>立体式</w:t>
            </w:r>
            <w:r>
              <w:rPr>
                <w:rFonts w:eastAsia="仿宋_GB2312"/>
              </w:rPr>
              <w:t>监测</w:t>
            </w:r>
            <w:r>
              <w:rPr>
                <w:rFonts w:hint="eastAsia" w:eastAsia="仿宋_GB2312"/>
              </w:rPr>
              <w:t>体系</w:t>
            </w:r>
            <w:r>
              <w:rPr>
                <w:b/>
                <w:bCs/>
              </w:rPr>
              <w:t>※</w:t>
            </w:r>
          </w:p>
        </w:tc>
        <w:tc>
          <w:tcPr>
            <w:tcW w:w="256" w:type="pct"/>
            <w:tcMar>
              <w:left w:w="51" w:type="dxa"/>
              <w:right w:w="51" w:type="dxa"/>
            </w:tcMar>
            <w:vAlign w:val="center"/>
          </w:tcPr>
          <w:p w14:paraId="03D25178">
            <w:pPr>
              <w:overflowPunct w:val="0"/>
              <w:spacing w:line="280" w:lineRule="exact"/>
              <w:jc w:val="center"/>
              <w:rPr>
                <w:rFonts w:eastAsia="仿宋_GB2312"/>
              </w:rPr>
            </w:pPr>
            <w:r>
              <w:rPr>
                <w:rFonts w:eastAsia="仿宋_GB2312"/>
              </w:rPr>
              <w:t>/</w:t>
            </w:r>
          </w:p>
        </w:tc>
        <w:tc>
          <w:tcPr>
            <w:tcW w:w="419" w:type="pct"/>
            <w:tcMar>
              <w:left w:w="51" w:type="dxa"/>
              <w:right w:w="51" w:type="dxa"/>
            </w:tcMar>
            <w:vAlign w:val="center"/>
          </w:tcPr>
          <w:p w14:paraId="747A0C13">
            <w:pPr>
              <w:jc w:val="center"/>
              <w:rPr>
                <w:rFonts w:eastAsia="仿宋_GB2312"/>
              </w:rPr>
            </w:pPr>
            <w:r>
              <w:rPr>
                <w:rFonts w:hint="eastAsia" w:eastAsia="仿宋_GB2312"/>
              </w:rPr>
              <w:t>未建</w:t>
            </w:r>
          </w:p>
        </w:tc>
        <w:tc>
          <w:tcPr>
            <w:tcW w:w="517" w:type="pct"/>
            <w:tcMar>
              <w:left w:w="51" w:type="dxa"/>
              <w:right w:w="51" w:type="dxa"/>
            </w:tcMar>
            <w:vAlign w:val="center"/>
          </w:tcPr>
          <w:p w14:paraId="49BAEFD0">
            <w:pPr>
              <w:jc w:val="center"/>
              <w:rPr>
                <w:rFonts w:eastAsia="仿宋_GB2312"/>
              </w:rPr>
            </w:pPr>
            <w:r>
              <w:rPr>
                <w:rFonts w:hint="eastAsia" w:eastAsia="仿宋_GB2312"/>
              </w:rPr>
              <w:t>建成</w:t>
            </w:r>
          </w:p>
        </w:tc>
        <w:tc>
          <w:tcPr>
            <w:tcW w:w="554" w:type="pct"/>
            <w:tcMar>
              <w:left w:w="51" w:type="dxa"/>
              <w:right w:w="51" w:type="dxa"/>
            </w:tcMar>
            <w:vAlign w:val="center"/>
          </w:tcPr>
          <w:p w14:paraId="097FC93B">
            <w:pPr>
              <w:jc w:val="center"/>
              <w:rPr>
                <w:rFonts w:eastAsia="仿宋_GB2312"/>
              </w:rPr>
            </w:pPr>
            <w:r>
              <w:rPr>
                <w:rFonts w:hint="eastAsia" w:eastAsia="仿宋_GB2312"/>
              </w:rPr>
              <w:t>正常运行</w:t>
            </w:r>
          </w:p>
        </w:tc>
        <w:tc>
          <w:tcPr>
            <w:tcW w:w="301" w:type="pct"/>
            <w:tcMar>
              <w:left w:w="51" w:type="dxa"/>
              <w:right w:w="51" w:type="dxa"/>
            </w:tcMar>
            <w:vAlign w:val="center"/>
          </w:tcPr>
          <w:p w14:paraId="55C8D088">
            <w:pPr>
              <w:overflowPunct w:val="0"/>
              <w:spacing w:line="280" w:lineRule="exact"/>
              <w:jc w:val="center"/>
              <w:rPr>
                <w:rFonts w:eastAsia="仿宋_GB2312"/>
              </w:rPr>
            </w:pPr>
            <w:r>
              <w:rPr>
                <w:rFonts w:eastAsia="仿宋_GB2312"/>
              </w:rPr>
              <w:t>预期性</w:t>
            </w:r>
          </w:p>
        </w:tc>
        <w:tc>
          <w:tcPr>
            <w:tcW w:w="500" w:type="pct"/>
            <w:tcMar>
              <w:top w:w="0" w:type="dxa"/>
              <w:left w:w="51" w:type="dxa"/>
              <w:bottom w:w="0" w:type="dxa"/>
              <w:right w:w="51" w:type="dxa"/>
            </w:tcMar>
            <w:vAlign w:val="center"/>
          </w:tcPr>
          <w:p w14:paraId="7F039DBD">
            <w:pPr>
              <w:overflowPunct w:val="0"/>
              <w:spacing w:line="280" w:lineRule="exact"/>
              <w:jc w:val="center"/>
              <w:rPr>
                <w:rFonts w:eastAsia="仿宋_GB2312"/>
              </w:rPr>
            </w:pPr>
            <w:r>
              <w:rPr>
                <w:rFonts w:eastAsia="仿宋_GB2312"/>
              </w:rPr>
              <w:t>生态环境局</w:t>
            </w:r>
          </w:p>
        </w:tc>
        <w:tc>
          <w:tcPr>
            <w:tcW w:w="1084" w:type="pct"/>
            <w:tcMar>
              <w:top w:w="0" w:type="dxa"/>
              <w:left w:w="51" w:type="dxa"/>
              <w:bottom w:w="0" w:type="dxa"/>
              <w:right w:w="51" w:type="dxa"/>
            </w:tcMar>
            <w:vAlign w:val="center"/>
          </w:tcPr>
          <w:p w14:paraId="4DB2F6B4">
            <w:pPr>
              <w:overflowPunct w:val="0"/>
              <w:spacing w:line="280" w:lineRule="exact"/>
              <w:jc w:val="center"/>
              <w:rPr>
                <w:rFonts w:eastAsia="仿宋_GB2312"/>
              </w:rPr>
            </w:pPr>
            <w:r>
              <w:rPr>
                <w:rFonts w:eastAsia="仿宋_GB2312"/>
              </w:rPr>
              <w:t>《</w:t>
            </w:r>
            <w:r>
              <w:rPr>
                <w:rFonts w:hint="eastAsia" w:eastAsia="仿宋_GB2312"/>
              </w:rPr>
              <w:t>靖江马洲岛生态岛试验区建设实施方案</w:t>
            </w:r>
            <w:r>
              <w:rPr>
                <w:rFonts w:eastAsia="仿宋_GB2312"/>
              </w:rPr>
              <w:t>》</w:t>
            </w:r>
          </w:p>
        </w:tc>
      </w:tr>
      <w:tr w14:paraId="039B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89" w:type="pct"/>
            <w:vMerge w:val="restart"/>
            <w:tcMar>
              <w:left w:w="51" w:type="dxa"/>
              <w:right w:w="51" w:type="dxa"/>
            </w:tcMar>
            <w:vAlign w:val="center"/>
          </w:tcPr>
          <w:p w14:paraId="5A8B8714">
            <w:pPr>
              <w:overflowPunct w:val="0"/>
              <w:spacing w:line="280" w:lineRule="exact"/>
              <w:jc w:val="center"/>
              <w:rPr>
                <w:rFonts w:eastAsia="仿宋_GB2312"/>
              </w:rPr>
            </w:pPr>
            <w:r>
              <w:rPr>
                <w:rFonts w:eastAsia="仿宋_GB2312"/>
              </w:rPr>
              <w:t>生物多样性可持续利用水平</w:t>
            </w:r>
          </w:p>
        </w:tc>
        <w:tc>
          <w:tcPr>
            <w:tcW w:w="201" w:type="pct"/>
            <w:shd w:val="clear" w:color="auto" w:fill="auto"/>
            <w:tcMar>
              <w:left w:w="51" w:type="dxa"/>
              <w:right w:w="51" w:type="dxa"/>
            </w:tcMar>
            <w:vAlign w:val="center"/>
          </w:tcPr>
          <w:p w14:paraId="65896344">
            <w:pPr>
              <w:overflowPunct w:val="0"/>
              <w:spacing w:line="280" w:lineRule="exact"/>
              <w:jc w:val="center"/>
              <w:rPr>
                <w:rFonts w:eastAsia="仿宋_GB2312"/>
                <w:kern w:val="2"/>
              </w:rPr>
            </w:pPr>
            <w:r>
              <w:rPr>
                <w:rFonts w:eastAsia="仿宋_GB2312"/>
              </w:rPr>
              <w:t>14</w:t>
            </w:r>
          </w:p>
        </w:tc>
        <w:tc>
          <w:tcPr>
            <w:tcW w:w="974" w:type="pct"/>
            <w:gridSpan w:val="2"/>
            <w:shd w:val="clear" w:color="auto" w:fill="auto"/>
            <w:tcMar>
              <w:left w:w="51" w:type="dxa"/>
              <w:right w:w="51" w:type="dxa"/>
            </w:tcMar>
            <w:vAlign w:val="center"/>
          </w:tcPr>
          <w:p w14:paraId="0AA9C935">
            <w:pPr>
              <w:pStyle w:val="4"/>
              <w:ind w:left="0" w:firstLine="0"/>
              <w:jc w:val="center"/>
              <w:rPr>
                <w:rFonts w:ascii="Times New Roman" w:hAnsi="Times New Roman"/>
                <w:b w:val="0"/>
                <w:bCs/>
                <w:kern w:val="2"/>
                <w:szCs w:val="24"/>
              </w:rPr>
            </w:pPr>
            <w:r>
              <w:rPr>
                <w:rFonts w:ascii="Times New Roman" w:hAnsi="Times New Roman" w:eastAsia="仿宋_GB2312"/>
                <w:b w:val="0"/>
                <w:bCs/>
                <w:szCs w:val="24"/>
              </w:rPr>
              <w:t>绿色优质农产品比重</w:t>
            </w:r>
          </w:p>
        </w:tc>
        <w:tc>
          <w:tcPr>
            <w:tcW w:w="256" w:type="pct"/>
            <w:shd w:val="clear" w:color="auto" w:fill="auto"/>
            <w:tcMar>
              <w:left w:w="51" w:type="dxa"/>
              <w:right w:w="51" w:type="dxa"/>
            </w:tcMar>
            <w:vAlign w:val="center"/>
          </w:tcPr>
          <w:p w14:paraId="2558861B">
            <w:pPr>
              <w:overflowPunct w:val="0"/>
              <w:spacing w:line="280" w:lineRule="exact"/>
              <w:jc w:val="center"/>
              <w:rPr>
                <w:rFonts w:eastAsia="仿宋_GB2312"/>
                <w:kern w:val="2"/>
              </w:rPr>
            </w:pPr>
            <w:r>
              <w:rPr>
                <w:rFonts w:eastAsia="仿宋_GB2312"/>
              </w:rPr>
              <w:t>%</w:t>
            </w:r>
          </w:p>
        </w:tc>
        <w:tc>
          <w:tcPr>
            <w:tcW w:w="419" w:type="pct"/>
            <w:shd w:val="clear" w:color="auto" w:fill="auto"/>
            <w:tcMar>
              <w:left w:w="51" w:type="dxa"/>
              <w:right w:w="51" w:type="dxa"/>
            </w:tcMar>
            <w:vAlign w:val="center"/>
          </w:tcPr>
          <w:p w14:paraId="007F7827">
            <w:pPr>
              <w:overflowPunct w:val="0"/>
              <w:spacing w:line="280" w:lineRule="exact"/>
              <w:jc w:val="center"/>
              <w:rPr>
                <w:rFonts w:eastAsia="仿宋_GB2312"/>
                <w:kern w:val="2"/>
              </w:rPr>
            </w:pPr>
            <w:r>
              <w:rPr>
                <w:rFonts w:eastAsia="仿宋_GB2312"/>
              </w:rPr>
              <w:t>91.5</w:t>
            </w:r>
          </w:p>
        </w:tc>
        <w:tc>
          <w:tcPr>
            <w:tcW w:w="517" w:type="pct"/>
            <w:shd w:val="clear" w:color="auto" w:fill="auto"/>
            <w:tcMar>
              <w:left w:w="51" w:type="dxa"/>
              <w:right w:w="51" w:type="dxa"/>
            </w:tcMar>
            <w:vAlign w:val="center"/>
          </w:tcPr>
          <w:p w14:paraId="0088FF1C">
            <w:pPr>
              <w:overflowPunct w:val="0"/>
              <w:spacing w:line="280" w:lineRule="exact"/>
              <w:jc w:val="center"/>
              <w:rPr>
                <w:rFonts w:eastAsia="仿宋_GB2312"/>
                <w:kern w:val="2"/>
              </w:rPr>
            </w:pPr>
            <w:r>
              <w:rPr>
                <w:rFonts w:eastAsia="仿宋_GB2312"/>
              </w:rPr>
              <w:t>93</w:t>
            </w:r>
          </w:p>
        </w:tc>
        <w:tc>
          <w:tcPr>
            <w:tcW w:w="554" w:type="pct"/>
            <w:shd w:val="clear" w:color="auto" w:fill="auto"/>
            <w:tcMar>
              <w:left w:w="51" w:type="dxa"/>
              <w:right w:w="51" w:type="dxa"/>
            </w:tcMar>
            <w:vAlign w:val="center"/>
          </w:tcPr>
          <w:p w14:paraId="57D7B6BD">
            <w:pPr>
              <w:overflowPunct w:val="0"/>
              <w:spacing w:line="280" w:lineRule="exact"/>
              <w:jc w:val="center"/>
              <w:rPr>
                <w:rFonts w:eastAsia="仿宋_GB2312"/>
                <w:kern w:val="2"/>
              </w:rPr>
            </w:pPr>
            <w:r>
              <w:rPr>
                <w:rFonts w:eastAsia="仿宋_GB2312"/>
              </w:rPr>
              <w:t>≥93</w:t>
            </w:r>
          </w:p>
        </w:tc>
        <w:tc>
          <w:tcPr>
            <w:tcW w:w="301" w:type="pct"/>
            <w:shd w:val="clear" w:color="auto" w:fill="auto"/>
            <w:tcMar>
              <w:left w:w="51" w:type="dxa"/>
              <w:right w:w="51" w:type="dxa"/>
            </w:tcMar>
            <w:vAlign w:val="center"/>
          </w:tcPr>
          <w:p w14:paraId="00BA0C03">
            <w:pPr>
              <w:overflowPunct w:val="0"/>
              <w:spacing w:line="280" w:lineRule="exact"/>
              <w:jc w:val="center"/>
              <w:rPr>
                <w:rFonts w:eastAsia="仿宋_GB2312"/>
                <w:kern w:val="2"/>
              </w:rPr>
            </w:pPr>
            <w:r>
              <w:rPr>
                <w:rFonts w:eastAsia="仿宋_GB2312"/>
              </w:rPr>
              <w:t>预期性</w:t>
            </w:r>
          </w:p>
        </w:tc>
        <w:tc>
          <w:tcPr>
            <w:tcW w:w="500" w:type="pct"/>
            <w:shd w:val="clear" w:color="auto" w:fill="auto"/>
            <w:tcMar>
              <w:top w:w="0" w:type="dxa"/>
              <w:left w:w="51" w:type="dxa"/>
              <w:bottom w:w="0" w:type="dxa"/>
              <w:right w:w="51" w:type="dxa"/>
            </w:tcMar>
            <w:vAlign w:val="center"/>
          </w:tcPr>
          <w:p w14:paraId="5D8A60A5">
            <w:pPr>
              <w:overflowPunct w:val="0"/>
              <w:spacing w:line="280" w:lineRule="exact"/>
              <w:jc w:val="center"/>
              <w:rPr>
                <w:rFonts w:eastAsia="仿宋_GB2312"/>
                <w:kern w:val="2"/>
              </w:rPr>
            </w:pPr>
            <w:r>
              <w:rPr>
                <w:rFonts w:eastAsia="仿宋_GB2312"/>
              </w:rPr>
              <w:t>农业农村局</w:t>
            </w:r>
          </w:p>
        </w:tc>
        <w:tc>
          <w:tcPr>
            <w:tcW w:w="1084" w:type="pct"/>
            <w:shd w:val="clear" w:color="auto" w:fill="auto"/>
            <w:tcMar>
              <w:top w:w="0" w:type="dxa"/>
              <w:left w:w="51" w:type="dxa"/>
              <w:bottom w:w="0" w:type="dxa"/>
              <w:right w:w="51" w:type="dxa"/>
            </w:tcMar>
            <w:vAlign w:val="center"/>
          </w:tcPr>
          <w:p w14:paraId="6E08E741">
            <w:pPr>
              <w:overflowPunct w:val="0"/>
              <w:spacing w:line="280" w:lineRule="exact"/>
              <w:jc w:val="center"/>
              <w:rPr>
                <w:rFonts w:eastAsia="仿宋_GB2312"/>
                <w:kern w:val="2"/>
              </w:rPr>
            </w:pPr>
            <w:r>
              <w:rPr>
                <w:rFonts w:eastAsia="仿宋_GB2312"/>
              </w:rPr>
              <w:t>《2023年靖江市国民经济和社会发展统计公报》</w:t>
            </w:r>
          </w:p>
        </w:tc>
      </w:tr>
      <w:tr w14:paraId="605C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189" w:type="pct"/>
            <w:vMerge w:val="continue"/>
            <w:tcMar>
              <w:left w:w="51" w:type="dxa"/>
              <w:right w:w="51" w:type="dxa"/>
            </w:tcMar>
            <w:vAlign w:val="center"/>
          </w:tcPr>
          <w:p w14:paraId="199159BA">
            <w:pPr>
              <w:overflowPunct w:val="0"/>
              <w:spacing w:line="280" w:lineRule="exact"/>
              <w:jc w:val="center"/>
              <w:rPr>
                <w:rFonts w:eastAsia="仿宋_GB2312"/>
              </w:rPr>
            </w:pPr>
          </w:p>
        </w:tc>
        <w:tc>
          <w:tcPr>
            <w:tcW w:w="201" w:type="pct"/>
            <w:shd w:val="clear" w:color="auto" w:fill="auto"/>
            <w:tcMar>
              <w:left w:w="51" w:type="dxa"/>
              <w:right w:w="51" w:type="dxa"/>
            </w:tcMar>
            <w:vAlign w:val="center"/>
          </w:tcPr>
          <w:p w14:paraId="1AE34417">
            <w:pPr>
              <w:overflowPunct w:val="0"/>
              <w:spacing w:line="280" w:lineRule="exact"/>
              <w:jc w:val="center"/>
              <w:rPr>
                <w:rFonts w:eastAsia="仿宋_GB2312"/>
              </w:rPr>
            </w:pPr>
            <w:r>
              <w:rPr>
                <w:rFonts w:eastAsia="仿宋_GB2312"/>
              </w:rPr>
              <w:t>15</w:t>
            </w:r>
          </w:p>
        </w:tc>
        <w:tc>
          <w:tcPr>
            <w:tcW w:w="974" w:type="pct"/>
            <w:gridSpan w:val="2"/>
            <w:shd w:val="clear" w:color="auto" w:fill="auto"/>
            <w:tcMar>
              <w:left w:w="51" w:type="dxa"/>
              <w:right w:w="51" w:type="dxa"/>
            </w:tcMar>
            <w:vAlign w:val="center"/>
          </w:tcPr>
          <w:p w14:paraId="15CD5CB5">
            <w:pPr>
              <w:pStyle w:val="4"/>
              <w:ind w:left="0" w:firstLine="0"/>
              <w:jc w:val="center"/>
              <w:rPr>
                <w:rFonts w:ascii="Times New Roman" w:hAnsi="Times New Roman" w:eastAsia="仿宋_GB2312"/>
                <w:b w:val="0"/>
                <w:bCs/>
                <w:szCs w:val="24"/>
              </w:rPr>
            </w:pPr>
            <w:r>
              <w:rPr>
                <w:rFonts w:ascii="Times New Roman" w:hAnsi="Times New Roman" w:eastAsia="仿宋_GB2312"/>
                <w:b w:val="0"/>
                <w:bCs/>
                <w:szCs w:val="24"/>
              </w:rPr>
              <w:t>生态健康养殖面积占比</w:t>
            </w:r>
            <w:r>
              <w:rPr>
                <w:rFonts w:ascii="Times New Roman" w:hAnsi="Times New Roman" w:eastAsia="宋体"/>
                <w:bCs/>
                <w:szCs w:val="24"/>
              </w:rPr>
              <w:t>※</w:t>
            </w:r>
          </w:p>
        </w:tc>
        <w:tc>
          <w:tcPr>
            <w:tcW w:w="256" w:type="pct"/>
            <w:shd w:val="clear" w:color="auto" w:fill="auto"/>
            <w:tcMar>
              <w:left w:w="51" w:type="dxa"/>
              <w:right w:w="51" w:type="dxa"/>
            </w:tcMar>
            <w:vAlign w:val="center"/>
          </w:tcPr>
          <w:p w14:paraId="78E19D09">
            <w:pPr>
              <w:overflowPunct w:val="0"/>
              <w:spacing w:line="280" w:lineRule="exact"/>
              <w:jc w:val="center"/>
              <w:rPr>
                <w:rFonts w:eastAsia="仿宋_GB2312"/>
              </w:rPr>
            </w:pPr>
            <w:r>
              <w:rPr>
                <w:rFonts w:eastAsia="仿宋_GB2312"/>
              </w:rPr>
              <w:t>%</w:t>
            </w:r>
          </w:p>
        </w:tc>
        <w:tc>
          <w:tcPr>
            <w:tcW w:w="419" w:type="pct"/>
            <w:shd w:val="clear" w:color="auto" w:fill="auto"/>
            <w:tcMar>
              <w:left w:w="51" w:type="dxa"/>
              <w:right w:w="51" w:type="dxa"/>
            </w:tcMar>
            <w:vAlign w:val="center"/>
          </w:tcPr>
          <w:p w14:paraId="363DB082">
            <w:pPr>
              <w:overflowPunct w:val="0"/>
              <w:spacing w:line="280" w:lineRule="exact"/>
              <w:jc w:val="center"/>
              <w:rPr>
                <w:rFonts w:eastAsia="仿宋_GB2312"/>
              </w:rPr>
            </w:pPr>
            <w:r>
              <w:rPr>
                <w:rFonts w:eastAsia="仿宋_GB2312"/>
              </w:rPr>
              <w:t>90</w:t>
            </w:r>
          </w:p>
        </w:tc>
        <w:tc>
          <w:tcPr>
            <w:tcW w:w="517" w:type="pct"/>
            <w:shd w:val="clear" w:color="auto" w:fill="auto"/>
            <w:tcMar>
              <w:left w:w="51" w:type="dxa"/>
              <w:right w:w="51" w:type="dxa"/>
            </w:tcMar>
            <w:vAlign w:val="center"/>
          </w:tcPr>
          <w:p w14:paraId="5AD91CEE">
            <w:pPr>
              <w:overflowPunct w:val="0"/>
              <w:spacing w:line="280" w:lineRule="exact"/>
              <w:jc w:val="center"/>
              <w:rPr>
                <w:rFonts w:eastAsia="仿宋_GB2312"/>
              </w:rPr>
            </w:pPr>
            <w:r>
              <w:rPr>
                <w:rFonts w:hint="eastAsia" w:eastAsia="仿宋_GB2312"/>
              </w:rPr>
              <w:t>95</w:t>
            </w:r>
          </w:p>
        </w:tc>
        <w:tc>
          <w:tcPr>
            <w:tcW w:w="554" w:type="pct"/>
            <w:shd w:val="clear" w:color="auto" w:fill="auto"/>
            <w:tcMar>
              <w:left w:w="51" w:type="dxa"/>
              <w:right w:w="51" w:type="dxa"/>
            </w:tcMar>
            <w:vAlign w:val="center"/>
          </w:tcPr>
          <w:p w14:paraId="2CFBB523">
            <w:pPr>
              <w:overflowPunct w:val="0"/>
              <w:spacing w:line="280" w:lineRule="exact"/>
              <w:jc w:val="center"/>
              <w:rPr>
                <w:rFonts w:eastAsia="仿宋_GB2312"/>
              </w:rPr>
            </w:pPr>
            <w:r>
              <w:rPr>
                <w:rFonts w:hint="eastAsia" w:eastAsia="仿宋_GB2312"/>
              </w:rPr>
              <w:t>98</w:t>
            </w:r>
          </w:p>
        </w:tc>
        <w:tc>
          <w:tcPr>
            <w:tcW w:w="301" w:type="pct"/>
            <w:shd w:val="clear" w:color="auto" w:fill="auto"/>
            <w:tcMar>
              <w:left w:w="51" w:type="dxa"/>
              <w:right w:w="51" w:type="dxa"/>
            </w:tcMar>
            <w:vAlign w:val="center"/>
          </w:tcPr>
          <w:p w14:paraId="4B2D2250">
            <w:pPr>
              <w:overflowPunct w:val="0"/>
              <w:spacing w:line="280" w:lineRule="exact"/>
              <w:jc w:val="center"/>
              <w:rPr>
                <w:rFonts w:eastAsia="仿宋_GB2312"/>
              </w:rPr>
            </w:pPr>
            <w:r>
              <w:rPr>
                <w:rFonts w:eastAsia="仿宋_GB2312"/>
              </w:rPr>
              <w:t>预期性</w:t>
            </w:r>
          </w:p>
        </w:tc>
        <w:tc>
          <w:tcPr>
            <w:tcW w:w="500" w:type="pct"/>
            <w:shd w:val="clear" w:color="auto" w:fill="auto"/>
            <w:tcMar>
              <w:top w:w="0" w:type="dxa"/>
              <w:left w:w="51" w:type="dxa"/>
              <w:bottom w:w="0" w:type="dxa"/>
              <w:right w:w="51" w:type="dxa"/>
            </w:tcMar>
            <w:vAlign w:val="center"/>
          </w:tcPr>
          <w:p w14:paraId="32C76EF2">
            <w:pPr>
              <w:overflowPunct w:val="0"/>
              <w:spacing w:line="280" w:lineRule="exact"/>
              <w:jc w:val="center"/>
              <w:rPr>
                <w:rFonts w:eastAsia="仿宋_GB2312"/>
              </w:rPr>
            </w:pPr>
            <w:r>
              <w:rPr>
                <w:rFonts w:eastAsia="仿宋_GB2312"/>
              </w:rPr>
              <w:t>农业农村局</w:t>
            </w:r>
          </w:p>
        </w:tc>
        <w:tc>
          <w:tcPr>
            <w:tcW w:w="1084" w:type="pct"/>
            <w:shd w:val="clear" w:color="auto" w:fill="auto"/>
            <w:tcMar>
              <w:top w:w="0" w:type="dxa"/>
              <w:left w:w="51" w:type="dxa"/>
              <w:bottom w:w="0" w:type="dxa"/>
              <w:right w:w="51" w:type="dxa"/>
            </w:tcMar>
            <w:vAlign w:val="center"/>
          </w:tcPr>
          <w:p w14:paraId="6B259918">
            <w:pPr>
              <w:overflowPunct w:val="0"/>
              <w:spacing w:line="280" w:lineRule="exact"/>
              <w:jc w:val="center"/>
              <w:rPr>
                <w:rFonts w:eastAsia="仿宋_GB2312"/>
              </w:rPr>
            </w:pPr>
            <w:r>
              <w:rPr>
                <w:rFonts w:eastAsia="仿宋_GB2312"/>
              </w:rPr>
              <w:t>《2023年靖江市国民经济和社会发展统计公报》</w:t>
            </w:r>
          </w:p>
        </w:tc>
      </w:tr>
      <w:tr w14:paraId="0ADE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189" w:type="pct"/>
            <w:vMerge w:val="continue"/>
            <w:tcMar>
              <w:left w:w="51" w:type="dxa"/>
              <w:right w:w="51" w:type="dxa"/>
            </w:tcMar>
            <w:vAlign w:val="center"/>
          </w:tcPr>
          <w:p w14:paraId="055766F1">
            <w:pPr>
              <w:overflowPunct w:val="0"/>
              <w:spacing w:line="280" w:lineRule="exact"/>
              <w:jc w:val="center"/>
              <w:rPr>
                <w:rFonts w:eastAsia="仿宋_GB2312"/>
              </w:rPr>
            </w:pPr>
          </w:p>
        </w:tc>
        <w:tc>
          <w:tcPr>
            <w:tcW w:w="201" w:type="pct"/>
            <w:shd w:val="clear" w:color="auto" w:fill="auto"/>
            <w:tcMar>
              <w:left w:w="51" w:type="dxa"/>
              <w:right w:w="51" w:type="dxa"/>
            </w:tcMar>
            <w:vAlign w:val="center"/>
          </w:tcPr>
          <w:p w14:paraId="18C1F68E">
            <w:pPr>
              <w:overflowPunct w:val="0"/>
              <w:spacing w:line="280" w:lineRule="exact"/>
              <w:jc w:val="center"/>
              <w:rPr>
                <w:rFonts w:eastAsia="仿宋_GB2312"/>
                <w:kern w:val="2"/>
              </w:rPr>
            </w:pPr>
            <w:r>
              <w:rPr>
                <w:rFonts w:eastAsia="仿宋_GB2312"/>
              </w:rPr>
              <w:t>16</w:t>
            </w:r>
          </w:p>
        </w:tc>
        <w:tc>
          <w:tcPr>
            <w:tcW w:w="974" w:type="pct"/>
            <w:gridSpan w:val="2"/>
            <w:shd w:val="clear" w:color="auto" w:fill="auto"/>
            <w:tcMar>
              <w:left w:w="51" w:type="dxa"/>
              <w:right w:w="51" w:type="dxa"/>
            </w:tcMar>
            <w:vAlign w:val="center"/>
          </w:tcPr>
          <w:p w14:paraId="7D111CA0">
            <w:pPr>
              <w:overflowPunct w:val="0"/>
              <w:spacing w:line="280" w:lineRule="exact"/>
              <w:jc w:val="center"/>
              <w:rPr>
                <w:rFonts w:eastAsia="仿宋_GB2312"/>
                <w:kern w:val="2"/>
              </w:rPr>
            </w:pPr>
            <w:r>
              <w:rPr>
                <w:rFonts w:eastAsia="仿宋_GB2312"/>
              </w:rPr>
              <w:t>生物多样性宣传教育基地数量</w:t>
            </w:r>
            <w:r>
              <w:rPr>
                <w:b/>
                <w:bCs/>
              </w:rPr>
              <w:t>※</w:t>
            </w:r>
          </w:p>
        </w:tc>
        <w:tc>
          <w:tcPr>
            <w:tcW w:w="256" w:type="pct"/>
            <w:shd w:val="clear" w:color="auto" w:fill="auto"/>
            <w:tcMar>
              <w:left w:w="51" w:type="dxa"/>
              <w:right w:w="51" w:type="dxa"/>
            </w:tcMar>
            <w:vAlign w:val="center"/>
          </w:tcPr>
          <w:p w14:paraId="10B70FB1">
            <w:pPr>
              <w:overflowPunct w:val="0"/>
              <w:spacing w:line="280" w:lineRule="exact"/>
              <w:jc w:val="center"/>
              <w:rPr>
                <w:rFonts w:eastAsia="仿宋_GB2312"/>
                <w:kern w:val="2"/>
              </w:rPr>
            </w:pPr>
            <w:r>
              <w:rPr>
                <w:rFonts w:eastAsia="仿宋_GB2312"/>
              </w:rPr>
              <w:t>个</w:t>
            </w:r>
          </w:p>
        </w:tc>
        <w:tc>
          <w:tcPr>
            <w:tcW w:w="419" w:type="pct"/>
            <w:shd w:val="clear" w:color="auto" w:fill="auto"/>
            <w:tcMar>
              <w:left w:w="51" w:type="dxa"/>
              <w:right w:w="51" w:type="dxa"/>
            </w:tcMar>
            <w:vAlign w:val="center"/>
          </w:tcPr>
          <w:p w14:paraId="1CB82DF6">
            <w:pPr>
              <w:overflowPunct w:val="0"/>
              <w:spacing w:line="280" w:lineRule="exact"/>
              <w:jc w:val="center"/>
              <w:rPr>
                <w:rFonts w:eastAsia="仿宋_GB2312"/>
                <w:kern w:val="2"/>
              </w:rPr>
            </w:pPr>
            <w:r>
              <w:rPr>
                <w:rFonts w:eastAsia="仿宋_GB2312"/>
              </w:rPr>
              <w:t>0</w:t>
            </w:r>
          </w:p>
        </w:tc>
        <w:tc>
          <w:tcPr>
            <w:tcW w:w="517" w:type="pct"/>
            <w:shd w:val="clear" w:color="auto" w:fill="auto"/>
            <w:tcMar>
              <w:left w:w="51" w:type="dxa"/>
              <w:right w:w="51" w:type="dxa"/>
            </w:tcMar>
            <w:vAlign w:val="center"/>
          </w:tcPr>
          <w:p w14:paraId="0322D52F">
            <w:pPr>
              <w:overflowPunct w:val="0"/>
              <w:spacing w:line="280" w:lineRule="exact"/>
              <w:jc w:val="center"/>
              <w:rPr>
                <w:rFonts w:eastAsia="仿宋_GB2312"/>
                <w:kern w:val="2"/>
              </w:rPr>
            </w:pPr>
            <w:r>
              <w:rPr>
                <w:rFonts w:eastAsia="仿宋_GB2312"/>
              </w:rPr>
              <w:t>1</w:t>
            </w:r>
          </w:p>
        </w:tc>
        <w:tc>
          <w:tcPr>
            <w:tcW w:w="554" w:type="pct"/>
            <w:shd w:val="clear" w:color="auto" w:fill="auto"/>
            <w:tcMar>
              <w:left w:w="51" w:type="dxa"/>
              <w:right w:w="51" w:type="dxa"/>
            </w:tcMar>
            <w:vAlign w:val="center"/>
          </w:tcPr>
          <w:p w14:paraId="017E5B94">
            <w:pPr>
              <w:overflowPunct w:val="0"/>
              <w:spacing w:line="280" w:lineRule="exact"/>
              <w:jc w:val="center"/>
              <w:rPr>
                <w:rFonts w:eastAsia="仿宋_GB2312"/>
                <w:kern w:val="2"/>
              </w:rPr>
            </w:pPr>
            <w:r>
              <w:rPr>
                <w:rFonts w:eastAsia="仿宋_GB2312"/>
              </w:rPr>
              <w:t>2</w:t>
            </w:r>
          </w:p>
        </w:tc>
        <w:tc>
          <w:tcPr>
            <w:tcW w:w="301" w:type="pct"/>
            <w:shd w:val="clear" w:color="auto" w:fill="auto"/>
            <w:tcMar>
              <w:left w:w="51" w:type="dxa"/>
              <w:right w:w="51" w:type="dxa"/>
            </w:tcMar>
            <w:vAlign w:val="center"/>
          </w:tcPr>
          <w:p w14:paraId="7CB5F95B">
            <w:pPr>
              <w:overflowPunct w:val="0"/>
              <w:spacing w:line="280" w:lineRule="exact"/>
              <w:jc w:val="center"/>
              <w:rPr>
                <w:rFonts w:eastAsia="仿宋_GB2312"/>
                <w:kern w:val="2"/>
              </w:rPr>
            </w:pPr>
            <w:r>
              <w:rPr>
                <w:rFonts w:eastAsia="仿宋_GB2312"/>
              </w:rPr>
              <w:t>预期性</w:t>
            </w:r>
          </w:p>
        </w:tc>
        <w:tc>
          <w:tcPr>
            <w:tcW w:w="500" w:type="pct"/>
            <w:shd w:val="clear" w:color="auto" w:fill="auto"/>
            <w:tcMar>
              <w:top w:w="0" w:type="dxa"/>
              <w:left w:w="51" w:type="dxa"/>
              <w:bottom w:w="0" w:type="dxa"/>
              <w:right w:w="51" w:type="dxa"/>
            </w:tcMar>
            <w:vAlign w:val="center"/>
          </w:tcPr>
          <w:p w14:paraId="6E21A12B">
            <w:pPr>
              <w:overflowPunct w:val="0"/>
              <w:spacing w:line="280" w:lineRule="exact"/>
              <w:jc w:val="center"/>
              <w:rPr>
                <w:rFonts w:eastAsia="仿宋_GB2312"/>
                <w:kern w:val="2"/>
              </w:rPr>
            </w:pPr>
            <w:r>
              <w:rPr>
                <w:rFonts w:eastAsia="仿宋_GB2312"/>
              </w:rPr>
              <w:t>生态环境局</w:t>
            </w:r>
          </w:p>
        </w:tc>
        <w:tc>
          <w:tcPr>
            <w:tcW w:w="1084" w:type="pct"/>
            <w:shd w:val="clear" w:color="auto" w:fill="auto"/>
            <w:tcMar>
              <w:top w:w="0" w:type="dxa"/>
              <w:left w:w="51" w:type="dxa"/>
              <w:bottom w:w="0" w:type="dxa"/>
              <w:right w:w="51" w:type="dxa"/>
            </w:tcMar>
            <w:vAlign w:val="center"/>
          </w:tcPr>
          <w:p w14:paraId="36AF8ECE">
            <w:pPr>
              <w:overflowPunct w:val="0"/>
              <w:spacing w:line="280" w:lineRule="exact"/>
              <w:jc w:val="center"/>
              <w:rPr>
                <w:rFonts w:eastAsia="仿宋_GB2312"/>
                <w:kern w:val="2"/>
              </w:rPr>
            </w:pPr>
            <w:r>
              <w:rPr>
                <w:rFonts w:eastAsia="仿宋_GB2312"/>
              </w:rPr>
              <w:t>特色指标</w:t>
            </w:r>
          </w:p>
        </w:tc>
      </w:tr>
    </w:tbl>
    <w:p w14:paraId="0D182D88">
      <w:pPr>
        <w:pStyle w:val="20"/>
        <w:ind w:left="0" w:leftChars="0" w:firstLine="0" w:firstLineChars="0"/>
        <w:rPr>
          <w:rFonts w:eastAsia="仿宋_GB2312"/>
          <w:kern w:val="2"/>
          <w:sz w:val="21"/>
          <w:szCs w:val="21"/>
        </w:rPr>
      </w:pPr>
      <w:r>
        <w:rPr>
          <w:rFonts w:eastAsia="仿宋_GB2312"/>
          <w:kern w:val="2"/>
          <w:sz w:val="21"/>
          <w:szCs w:val="21"/>
        </w:rPr>
        <w:t>注：</w:t>
      </w:r>
    </w:p>
    <w:p w14:paraId="7833A5F9">
      <w:pPr>
        <w:pStyle w:val="20"/>
        <w:numPr>
          <w:ilvl w:val="0"/>
          <w:numId w:val="1"/>
        </w:numPr>
        <w:ind w:leftChars="0" w:firstLine="0" w:firstLineChars="0"/>
        <w:rPr>
          <w:rFonts w:eastAsia="仿宋_GB2312"/>
          <w:kern w:val="2"/>
          <w:sz w:val="21"/>
          <w:szCs w:val="21"/>
        </w:rPr>
      </w:pPr>
      <w:r>
        <w:rPr>
          <w:rFonts w:eastAsia="仿宋_GB2312"/>
          <w:kern w:val="2"/>
          <w:sz w:val="21"/>
          <w:szCs w:val="21"/>
        </w:rPr>
        <w:t>指标1-2依据新加坡城市生物多样性指数（CBI）指标8-自然保护地占比。</w:t>
      </w:r>
    </w:p>
    <w:p w14:paraId="0B0ECFFF">
      <w:pPr>
        <w:pStyle w:val="20"/>
        <w:numPr>
          <w:ilvl w:val="0"/>
          <w:numId w:val="1"/>
        </w:numPr>
        <w:ind w:leftChars="0" w:firstLine="0" w:firstLineChars="0"/>
        <w:rPr>
          <w:rFonts w:eastAsia="仿宋_GB2312"/>
          <w:kern w:val="2"/>
          <w:sz w:val="21"/>
          <w:szCs w:val="21"/>
        </w:rPr>
      </w:pPr>
      <w:r>
        <w:rPr>
          <w:rFonts w:eastAsia="仿宋_GB2312"/>
          <w:kern w:val="2"/>
          <w:sz w:val="21"/>
          <w:szCs w:val="21"/>
        </w:rPr>
        <w:t>指标3-8依据《靖江市国土空间生态保护和修复规划（2021—2035年）》-湿地保护率、大陆自然岸线保有率、森林覆盖率、耕地保有量、受污染耕地安全利用率、城市建成区绿化覆盖率。</w:t>
      </w:r>
    </w:p>
    <w:p w14:paraId="6F5FE7A0">
      <w:pPr>
        <w:pStyle w:val="20"/>
        <w:numPr>
          <w:ilvl w:val="0"/>
          <w:numId w:val="1"/>
        </w:numPr>
        <w:ind w:leftChars="0" w:firstLine="0" w:firstLineChars="0"/>
        <w:rPr>
          <w:rFonts w:eastAsia="仿宋_GB2312"/>
          <w:kern w:val="2"/>
          <w:sz w:val="21"/>
          <w:szCs w:val="21"/>
        </w:rPr>
      </w:pPr>
      <w:r>
        <w:rPr>
          <w:rFonts w:eastAsia="仿宋_GB2312"/>
          <w:kern w:val="2"/>
          <w:sz w:val="21"/>
          <w:szCs w:val="21"/>
        </w:rPr>
        <w:t>指标9为生物多样性本底调查观测物种数。</w:t>
      </w:r>
    </w:p>
    <w:p w14:paraId="619567EC">
      <w:pPr>
        <w:pStyle w:val="20"/>
        <w:numPr>
          <w:ilvl w:val="0"/>
          <w:numId w:val="1"/>
        </w:numPr>
        <w:ind w:leftChars="0" w:firstLine="0" w:firstLineChars="0"/>
        <w:rPr>
          <w:rFonts w:eastAsia="仿宋_GB2312"/>
          <w:kern w:val="2"/>
          <w:sz w:val="21"/>
          <w:szCs w:val="21"/>
        </w:rPr>
      </w:pPr>
      <w:r>
        <w:rPr>
          <w:rFonts w:eastAsia="仿宋_GB2312"/>
          <w:kern w:val="2"/>
          <w:sz w:val="21"/>
          <w:szCs w:val="21"/>
        </w:rPr>
        <w:t>指标10依据《靖江市“十四五”生态环境保护规划》-重点生物物种种数保护率。</w:t>
      </w:r>
    </w:p>
    <w:p w14:paraId="71316FA1">
      <w:pPr>
        <w:pStyle w:val="20"/>
        <w:numPr>
          <w:ilvl w:val="0"/>
          <w:numId w:val="1"/>
        </w:numPr>
        <w:ind w:leftChars="0" w:firstLine="0" w:firstLineChars="0"/>
        <w:rPr>
          <w:rFonts w:eastAsia="仿宋_GB2312"/>
          <w:sz w:val="21"/>
          <w:szCs w:val="21"/>
        </w:rPr>
      </w:pPr>
      <w:r>
        <w:rPr>
          <w:rFonts w:eastAsia="仿宋_GB2312"/>
          <w:kern w:val="2"/>
          <w:sz w:val="21"/>
          <w:szCs w:val="21"/>
        </w:rPr>
        <w:t>指标11为</w:t>
      </w:r>
      <w:r>
        <w:rPr>
          <w:rFonts w:eastAsia="仿宋_GB2312"/>
          <w:sz w:val="21"/>
          <w:szCs w:val="21"/>
        </w:rPr>
        <w:t>长江靖江段长江江豚专项调查观测数据。</w:t>
      </w:r>
    </w:p>
    <w:p w14:paraId="5D6AF903">
      <w:pPr>
        <w:pStyle w:val="20"/>
        <w:numPr>
          <w:ilvl w:val="0"/>
          <w:numId w:val="1"/>
        </w:numPr>
        <w:ind w:leftChars="0" w:firstLine="0" w:firstLineChars="0"/>
        <w:rPr>
          <w:rFonts w:eastAsia="仿宋_GB2312"/>
          <w:sz w:val="21"/>
          <w:szCs w:val="21"/>
        </w:rPr>
      </w:pPr>
      <w:r>
        <w:rPr>
          <w:rFonts w:eastAsia="仿宋_GB2312"/>
          <w:sz w:val="21"/>
          <w:szCs w:val="21"/>
        </w:rPr>
        <w:t>指标12为靖江市生物多样性本底调查与评估开展次数。</w:t>
      </w:r>
    </w:p>
    <w:p w14:paraId="5B2D6CF2">
      <w:pPr>
        <w:pStyle w:val="20"/>
        <w:numPr>
          <w:ilvl w:val="0"/>
          <w:numId w:val="1"/>
        </w:numPr>
        <w:ind w:leftChars="0" w:firstLine="0" w:firstLineChars="0"/>
        <w:rPr>
          <w:rFonts w:eastAsia="仿宋_GB2312"/>
          <w:sz w:val="21"/>
          <w:szCs w:val="21"/>
        </w:rPr>
      </w:pPr>
      <w:r>
        <w:rPr>
          <w:rFonts w:eastAsia="仿宋_GB2312"/>
          <w:sz w:val="21"/>
          <w:szCs w:val="21"/>
        </w:rPr>
        <w:t>指标13为长江江豚种群监测点位建设数量。</w:t>
      </w:r>
    </w:p>
    <w:p w14:paraId="6FBA347F">
      <w:pPr>
        <w:pStyle w:val="20"/>
        <w:numPr>
          <w:ilvl w:val="0"/>
          <w:numId w:val="1"/>
        </w:numPr>
        <w:ind w:leftChars="0" w:firstLine="0" w:firstLineChars="0"/>
        <w:rPr>
          <w:rFonts w:eastAsia="仿宋_GB2312"/>
          <w:sz w:val="21"/>
          <w:szCs w:val="21"/>
        </w:rPr>
      </w:pPr>
      <w:r>
        <w:rPr>
          <w:rFonts w:eastAsia="仿宋_GB2312"/>
          <w:sz w:val="21"/>
          <w:szCs w:val="21"/>
        </w:rPr>
        <w:t>指标14依据《江苏高质量发展监测评价指标体系与实施办法》-绿色优质农产品比重。</w:t>
      </w:r>
    </w:p>
    <w:p w14:paraId="504F528D">
      <w:pPr>
        <w:pStyle w:val="20"/>
        <w:numPr>
          <w:ilvl w:val="0"/>
          <w:numId w:val="1"/>
        </w:numPr>
        <w:ind w:leftChars="0" w:firstLine="0" w:firstLineChars="0"/>
        <w:rPr>
          <w:rFonts w:eastAsia="仿宋_GB2312"/>
          <w:sz w:val="21"/>
          <w:szCs w:val="21"/>
        </w:rPr>
      </w:pPr>
      <w:r>
        <w:rPr>
          <w:rFonts w:eastAsia="仿宋_GB2312"/>
          <w:sz w:val="21"/>
          <w:szCs w:val="21"/>
        </w:rPr>
        <w:t>指标15为</w:t>
      </w:r>
      <w:r>
        <w:rPr>
          <w:rFonts w:hint="eastAsia" w:eastAsia="仿宋_GB2312"/>
          <w:sz w:val="21"/>
          <w:szCs w:val="21"/>
        </w:rPr>
        <w:t>采用</w:t>
      </w:r>
      <w:r>
        <w:rPr>
          <w:rFonts w:eastAsia="仿宋_GB2312"/>
          <w:sz w:val="21"/>
          <w:szCs w:val="21"/>
        </w:rPr>
        <w:t>生态健康养殖</w:t>
      </w:r>
      <w:r>
        <w:rPr>
          <w:rFonts w:hint="eastAsia" w:eastAsia="仿宋_GB2312"/>
          <w:sz w:val="21"/>
          <w:szCs w:val="21"/>
        </w:rPr>
        <w:t>模式</w:t>
      </w:r>
      <w:r>
        <w:rPr>
          <w:rFonts w:eastAsia="仿宋_GB2312"/>
          <w:sz w:val="21"/>
          <w:szCs w:val="21"/>
        </w:rPr>
        <w:t>的</w:t>
      </w:r>
      <w:r>
        <w:rPr>
          <w:rFonts w:hint="eastAsia" w:eastAsia="仿宋_GB2312"/>
          <w:sz w:val="21"/>
          <w:szCs w:val="21"/>
        </w:rPr>
        <w:t>养殖塘</w:t>
      </w:r>
      <w:r>
        <w:rPr>
          <w:rFonts w:eastAsia="仿宋_GB2312"/>
          <w:sz w:val="21"/>
          <w:szCs w:val="21"/>
        </w:rPr>
        <w:t>面积占</w:t>
      </w:r>
      <w:r>
        <w:rPr>
          <w:rFonts w:hint="eastAsia" w:eastAsia="仿宋_GB2312"/>
          <w:sz w:val="21"/>
          <w:szCs w:val="21"/>
        </w:rPr>
        <w:t>养殖塘</w:t>
      </w:r>
      <w:r>
        <w:rPr>
          <w:rFonts w:eastAsia="仿宋_GB2312"/>
          <w:sz w:val="21"/>
          <w:szCs w:val="21"/>
        </w:rPr>
        <w:t>总面积的比例。</w:t>
      </w:r>
    </w:p>
    <w:p w14:paraId="68AA4931">
      <w:pPr>
        <w:pStyle w:val="20"/>
        <w:numPr>
          <w:ilvl w:val="0"/>
          <w:numId w:val="1"/>
        </w:numPr>
        <w:ind w:leftChars="0" w:firstLine="0" w:firstLineChars="0"/>
        <w:rPr>
          <w:rFonts w:eastAsia="仿宋_GB2312"/>
          <w:kern w:val="2"/>
          <w:sz w:val="21"/>
          <w:szCs w:val="21"/>
        </w:rPr>
      </w:pPr>
      <w:r>
        <w:rPr>
          <w:rFonts w:eastAsia="仿宋_GB2312"/>
          <w:kern w:val="2"/>
          <w:sz w:val="21"/>
          <w:szCs w:val="21"/>
        </w:rPr>
        <w:t>指标16为靖江长江江豚观测体验平台和马洲岛生物多样性体验展示基地等</w:t>
      </w:r>
      <w:r>
        <w:rPr>
          <w:rFonts w:eastAsia="仿宋_GB2312"/>
          <w:sz w:val="21"/>
          <w:szCs w:val="21"/>
        </w:rPr>
        <w:t>生物多样性宣传教育基地建设数量。</w:t>
      </w:r>
    </w:p>
    <w:p w14:paraId="34A9FBE5">
      <w:pPr>
        <w:pStyle w:val="20"/>
        <w:numPr>
          <w:ilvl w:val="0"/>
          <w:numId w:val="1"/>
        </w:numPr>
        <w:ind w:leftChars="0" w:firstLine="0" w:firstLineChars="0"/>
        <w:rPr>
          <w:rFonts w:eastAsia="仿宋_GB2312"/>
          <w:b/>
          <w:bCs/>
          <w:sz w:val="21"/>
          <w:szCs w:val="21"/>
        </w:rPr>
      </w:pPr>
      <w:r>
        <w:rPr>
          <w:rFonts w:eastAsia="仿宋_GB2312"/>
          <w:b/>
          <w:bCs/>
          <w:sz w:val="21"/>
          <w:szCs w:val="21"/>
        </w:rPr>
        <w:t>指标11、13、16为靖江市特色指标。</w:t>
      </w:r>
    </w:p>
    <w:p w14:paraId="65482430">
      <w:pPr>
        <w:pStyle w:val="20"/>
        <w:ind w:left="0" w:leftChars="0" w:firstLine="0" w:firstLineChars="0"/>
        <w:rPr>
          <w:rFonts w:eastAsia="仿宋_GB2312"/>
          <w:b/>
          <w:bCs/>
          <w:sz w:val="21"/>
          <w:szCs w:val="21"/>
        </w:rPr>
      </w:pPr>
    </w:p>
    <w:p w14:paraId="5318E697">
      <w:pPr>
        <w:pStyle w:val="20"/>
        <w:ind w:left="0" w:leftChars="0" w:firstLine="0" w:firstLineChars="0"/>
        <w:rPr>
          <w:rFonts w:eastAsia="仿宋_GB2312"/>
          <w:b/>
          <w:bCs/>
          <w:sz w:val="21"/>
          <w:szCs w:val="21"/>
        </w:rPr>
      </w:pPr>
    </w:p>
    <w:p w14:paraId="4BB4AF34">
      <w:pPr>
        <w:pStyle w:val="20"/>
        <w:ind w:left="0" w:leftChars="0" w:firstLine="0" w:firstLineChars="0"/>
        <w:rPr>
          <w:rFonts w:eastAsia="仿宋_GB2312"/>
          <w:b/>
          <w:bCs/>
          <w:sz w:val="21"/>
          <w:szCs w:val="21"/>
        </w:rPr>
        <w:sectPr>
          <w:pgSz w:w="16838" w:h="11906" w:orient="landscape"/>
          <w:pgMar w:top="1800" w:right="1440" w:bottom="1800" w:left="1440" w:header="851" w:footer="992" w:gutter="0"/>
          <w:cols w:space="425" w:num="1"/>
          <w:docGrid w:type="lines" w:linePitch="312" w:charSpace="0"/>
        </w:sectPr>
      </w:pPr>
    </w:p>
    <w:p w14:paraId="7D8CE0BA">
      <w:pPr>
        <w:keepNext/>
        <w:keepLines/>
        <w:widowControl w:val="0"/>
        <w:spacing w:before="100" w:beforeAutospacing="1" w:after="100" w:afterAutospacing="1" w:line="590" w:lineRule="exact"/>
        <w:jc w:val="center"/>
        <w:outlineLvl w:val="0"/>
        <w:rPr>
          <w:rFonts w:eastAsia="仿宋_GB2312"/>
          <w:b/>
          <w:bCs/>
          <w:kern w:val="44"/>
          <w:sz w:val="32"/>
          <w:szCs w:val="44"/>
        </w:rPr>
      </w:pPr>
      <w:bookmarkStart w:id="46" w:name="_Toc27618"/>
      <w:bookmarkStart w:id="47" w:name="_Toc5575"/>
      <w:r>
        <w:rPr>
          <w:rFonts w:eastAsia="仿宋_GB2312"/>
          <w:b/>
          <w:bCs/>
          <w:kern w:val="44"/>
          <w:sz w:val="32"/>
          <w:szCs w:val="44"/>
        </w:rPr>
        <w:t>第四章 生物多样性保护空间</w:t>
      </w:r>
      <w:bookmarkEnd w:id="46"/>
      <w:r>
        <w:rPr>
          <w:rFonts w:eastAsia="仿宋_GB2312"/>
          <w:b/>
          <w:bCs/>
          <w:kern w:val="44"/>
          <w:sz w:val="32"/>
          <w:szCs w:val="44"/>
        </w:rPr>
        <w:t>总体布局</w:t>
      </w:r>
      <w:bookmarkEnd w:id="47"/>
    </w:p>
    <w:p w14:paraId="089D6ED1">
      <w:pPr>
        <w:snapToGrid w:val="0"/>
        <w:spacing w:line="360" w:lineRule="auto"/>
        <w:ind w:firstLine="560" w:firstLineChars="200"/>
        <w:jc w:val="both"/>
        <w:rPr>
          <w:rFonts w:eastAsia="仿宋_GB2312"/>
          <w:sz w:val="28"/>
          <w:szCs w:val="28"/>
        </w:rPr>
      </w:pPr>
      <w:r>
        <w:rPr>
          <w:rFonts w:eastAsia="仿宋_GB2312"/>
          <w:sz w:val="28"/>
          <w:szCs w:val="28"/>
        </w:rPr>
        <w:t>综合靖江市自然地理特征、生态系统的重要性以及物种的丰富度、珍稀濒危程度、经济和科研价值、地理分布等因素，构建“一带一岛两区多廊多节点”的生物多样性保护空间布局。其中，“一带”是指长江水生生物保护带。“一岛”是指马洲岛。“两区”是指靖江香沙芋种质资源保护区和长江靖江段中华绒螯蟹鳜鱼国家级水产种质资源保护区。“多廊”是指美人港至川心港、上六圩港、二通道、十圩港等生态廊道。“多点”指</w:t>
      </w:r>
      <w:r>
        <w:rPr>
          <w:rFonts w:eastAsia="仿宋_GB2312"/>
          <w:bCs/>
          <w:sz w:val="28"/>
          <w:szCs w:val="28"/>
          <w:lang w:bidi="ar"/>
        </w:rPr>
        <w:t>孤山风景区、</w:t>
      </w:r>
      <w:r>
        <w:rPr>
          <w:rFonts w:eastAsia="仿宋_GB2312"/>
          <w:bCs/>
          <w:sz w:val="28"/>
          <w:szCs w:val="28"/>
        </w:rPr>
        <w:t>牧城公园、</w:t>
      </w:r>
      <w:r>
        <w:rPr>
          <w:rFonts w:eastAsia="仿宋_GB2312"/>
          <w:bCs/>
          <w:sz w:val="28"/>
          <w:szCs w:val="28"/>
          <w:lang w:bidi="ar"/>
        </w:rPr>
        <w:t>滨江湿地公园</w:t>
      </w:r>
      <w:r>
        <w:rPr>
          <w:rFonts w:eastAsia="仿宋_GB2312"/>
          <w:sz w:val="28"/>
          <w:szCs w:val="28"/>
        </w:rPr>
        <w:t>等生态节点。</w:t>
      </w:r>
    </w:p>
    <w:p w14:paraId="1B634F8A">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48" w:name="_Toc18774"/>
      <w:bookmarkStart w:id="49" w:name="_Toc10067"/>
      <w:bookmarkStart w:id="50" w:name="_Toc6938"/>
      <w:bookmarkStart w:id="51" w:name="_Toc15980"/>
      <w:bookmarkStart w:id="52" w:name="_Toc4635"/>
      <w:bookmarkStart w:id="53" w:name="_Toc1940"/>
      <w:bookmarkStart w:id="54" w:name="_Toc26718"/>
      <w:bookmarkStart w:id="55" w:name="_Toc24909"/>
      <w:bookmarkStart w:id="56" w:name="_Toc2446"/>
      <w:bookmarkStart w:id="57" w:name="_Toc22683"/>
      <w:bookmarkStart w:id="58" w:name="_Toc26739"/>
      <w:bookmarkStart w:id="59" w:name="_Toc2646"/>
      <w:bookmarkStart w:id="60" w:name="_Toc18755"/>
      <w:bookmarkStart w:id="61" w:name="_Toc18183"/>
      <w:r>
        <w:rPr>
          <w:rFonts w:eastAsia="仿宋_GB2312"/>
          <w:b/>
          <w:bCs/>
          <w:kern w:val="2"/>
          <w:sz w:val="28"/>
          <w:szCs w:val="28"/>
        </w:rPr>
        <w:t xml:space="preserve">4.1 </w:t>
      </w:r>
      <w:bookmarkEnd w:id="48"/>
      <w:bookmarkEnd w:id="49"/>
      <w:bookmarkEnd w:id="50"/>
      <w:bookmarkEnd w:id="51"/>
      <w:bookmarkEnd w:id="52"/>
      <w:bookmarkEnd w:id="53"/>
      <w:bookmarkEnd w:id="54"/>
      <w:bookmarkEnd w:id="55"/>
      <w:bookmarkEnd w:id="56"/>
      <w:bookmarkEnd w:id="57"/>
      <w:bookmarkEnd w:id="58"/>
      <w:bookmarkEnd w:id="59"/>
      <w:r>
        <w:rPr>
          <w:rFonts w:eastAsia="仿宋_GB2312"/>
          <w:b/>
          <w:bCs/>
          <w:kern w:val="2"/>
          <w:sz w:val="28"/>
          <w:szCs w:val="28"/>
        </w:rPr>
        <w:t>一带</w:t>
      </w:r>
      <w:bookmarkEnd w:id="60"/>
      <w:bookmarkEnd w:id="61"/>
    </w:p>
    <w:p w14:paraId="2202E331">
      <w:pPr>
        <w:snapToGrid w:val="0"/>
        <w:spacing w:line="360" w:lineRule="auto"/>
        <w:rPr>
          <w:rFonts w:eastAsia="仿宋_GB2312"/>
          <w:b/>
          <w:bCs/>
          <w:sz w:val="28"/>
          <w:szCs w:val="28"/>
        </w:rPr>
      </w:pPr>
      <w:r>
        <w:rPr>
          <w:rFonts w:eastAsia="仿宋_GB2312"/>
          <w:b/>
          <w:bCs/>
          <w:sz w:val="28"/>
          <w:szCs w:val="28"/>
        </w:rPr>
        <w:t>1. 区域概况</w:t>
      </w:r>
    </w:p>
    <w:p w14:paraId="08A95615">
      <w:pPr>
        <w:snapToGrid w:val="0"/>
        <w:spacing w:line="360" w:lineRule="auto"/>
        <w:ind w:firstLine="560" w:firstLineChars="200"/>
        <w:jc w:val="both"/>
        <w:rPr>
          <w:rFonts w:eastAsia="仿宋_GB2312"/>
          <w:sz w:val="28"/>
          <w:szCs w:val="28"/>
        </w:rPr>
      </w:pPr>
      <w:r>
        <w:rPr>
          <w:rFonts w:eastAsia="仿宋_GB2312"/>
          <w:sz w:val="28"/>
          <w:szCs w:val="28"/>
        </w:rPr>
        <w:t>长江水生生物保护带由长江靖江段水体和长江重要湿地组成，分布</w:t>
      </w:r>
      <w:r>
        <w:rPr>
          <w:rFonts w:hint="eastAsia" w:eastAsia="仿宋_GB2312"/>
          <w:sz w:val="28"/>
          <w:szCs w:val="28"/>
        </w:rPr>
        <w:t>有</w:t>
      </w:r>
      <w:r>
        <w:rPr>
          <w:rFonts w:eastAsia="仿宋_GB2312"/>
          <w:sz w:val="28"/>
          <w:szCs w:val="28"/>
        </w:rPr>
        <w:t>长江靖江段中华绒螯蟹鳜鱼国家级水产种质资源保护区、长江蟛蜞港饮用水水源保护区2处生态保护红线，以及</w:t>
      </w:r>
      <w:r>
        <w:rPr>
          <w:rFonts w:eastAsia="仿宋_GB2312"/>
          <w:bCs/>
          <w:sz w:val="28"/>
          <w:szCs w:val="28"/>
        </w:rPr>
        <w:t>长江（靖江市）重要湿地生态空间管控区域</w:t>
      </w:r>
      <w:r>
        <w:rPr>
          <w:rFonts w:eastAsia="仿宋_GB2312"/>
          <w:sz w:val="28"/>
          <w:szCs w:val="28"/>
        </w:rPr>
        <w:t>，生态功能显著。该区域长江水域地处长江下游与河口段的交汇地带，其水文条件受长江径流和潮汐的双重影响，形成了流态复杂、营养盐丰富的水域环境，多种水生生物在此繁殖、索饵，是“水中大熊猫”长江江豚不可替代的自然栖息地之一，也是刀鲚、中华鲟、胭脂鱼等珍稀鱼类的重要洄游通道和索饵场，在长江水生生物保护方面具有重要价值。</w:t>
      </w:r>
    </w:p>
    <w:p w14:paraId="57E48D8C">
      <w:pPr>
        <w:snapToGrid w:val="0"/>
        <w:spacing w:line="360" w:lineRule="auto"/>
        <w:rPr>
          <w:rFonts w:eastAsia="仿宋_GB2312"/>
          <w:b/>
          <w:bCs/>
          <w:sz w:val="28"/>
          <w:szCs w:val="28"/>
        </w:rPr>
      </w:pPr>
      <w:r>
        <w:rPr>
          <w:rFonts w:eastAsia="仿宋_GB2312"/>
          <w:b/>
          <w:bCs/>
          <w:sz w:val="28"/>
          <w:szCs w:val="28"/>
        </w:rPr>
        <w:t>2. 重点保护对象</w:t>
      </w:r>
    </w:p>
    <w:p w14:paraId="1A2FFFC6">
      <w:pPr>
        <w:snapToGrid w:val="0"/>
        <w:spacing w:line="360" w:lineRule="auto"/>
        <w:ind w:firstLine="560" w:firstLineChars="200"/>
        <w:rPr>
          <w:rFonts w:eastAsia="仿宋_GB2312"/>
          <w:sz w:val="28"/>
          <w:szCs w:val="28"/>
        </w:rPr>
      </w:pPr>
      <w:r>
        <w:rPr>
          <w:rFonts w:eastAsia="仿宋_GB2312"/>
          <w:sz w:val="28"/>
          <w:szCs w:val="28"/>
        </w:rPr>
        <w:t>长江江豚、震旦鸦雀、野大豆等珍稀濒危野生动植物，刀鲚、中华绒螯蟹、鳜鱼等</w:t>
      </w:r>
      <w:r>
        <w:rPr>
          <w:rFonts w:hint="eastAsia" w:eastAsia="仿宋_GB2312"/>
          <w:sz w:val="28"/>
          <w:szCs w:val="28"/>
        </w:rPr>
        <w:t>水产</w:t>
      </w:r>
      <w:r>
        <w:rPr>
          <w:rFonts w:eastAsia="仿宋_GB2312"/>
          <w:sz w:val="28"/>
          <w:szCs w:val="28"/>
        </w:rPr>
        <w:t>种质资源以及沿江</w:t>
      </w:r>
      <w:r>
        <w:rPr>
          <w:rFonts w:hint="eastAsia" w:eastAsia="仿宋_GB2312"/>
          <w:sz w:val="28"/>
          <w:szCs w:val="28"/>
        </w:rPr>
        <w:t>重要</w:t>
      </w:r>
      <w:r>
        <w:rPr>
          <w:rFonts w:eastAsia="仿宋_GB2312"/>
          <w:sz w:val="28"/>
          <w:szCs w:val="28"/>
        </w:rPr>
        <w:t>湿地生态系统。</w:t>
      </w:r>
    </w:p>
    <w:p w14:paraId="5A4BCB4C">
      <w:pPr>
        <w:numPr>
          <w:ilvl w:val="0"/>
          <w:numId w:val="2"/>
        </w:numPr>
        <w:snapToGrid w:val="0"/>
        <w:spacing w:line="360" w:lineRule="auto"/>
        <w:rPr>
          <w:rFonts w:eastAsia="仿宋_GB2312"/>
          <w:b/>
          <w:sz w:val="28"/>
          <w:szCs w:val="28"/>
        </w:rPr>
      </w:pPr>
      <w:r>
        <w:rPr>
          <w:rFonts w:eastAsia="仿宋_GB2312"/>
          <w:b/>
          <w:sz w:val="28"/>
          <w:szCs w:val="28"/>
        </w:rPr>
        <w:t>重点项目</w:t>
      </w:r>
    </w:p>
    <w:p w14:paraId="3C83A6A8">
      <w:pPr>
        <w:snapToGrid w:val="0"/>
        <w:spacing w:line="360" w:lineRule="auto"/>
        <w:ind w:firstLine="560" w:firstLineChars="200"/>
        <w:rPr>
          <w:rFonts w:eastAsia="仿宋_GB2312"/>
          <w:sz w:val="28"/>
          <w:szCs w:val="28"/>
        </w:rPr>
      </w:pPr>
      <w:r>
        <w:rPr>
          <w:rFonts w:eastAsia="仿宋_GB2312"/>
          <w:bCs/>
          <w:sz w:val="28"/>
          <w:szCs w:val="28"/>
        </w:rPr>
        <w:t>长江江豚立体式监测体系建设、靖江长江沿线山水林田湖草沙一体化保护和修复工程、长江防护生态屏障建设工程、湿地保护修复项目、中华绒螯蟹鳜鱼国家级水产种质资源保护工程。</w:t>
      </w:r>
    </w:p>
    <w:p w14:paraId="4F4E4EA9">
      <w:pPr>
        <w:numPr>
          <w:ilvl w:val="0"/>
          <w:numId w:val="2"/>
        </w:numPr>
        <w:snapToGrid w:val="0"/>
        <w:spacing w:line="360" w:lineRule="auto"/>
        <w:rPr>
          <w:rFonts w:eastAsia="仿宋_GB2312"/>
          <w:b/>
          <w:sz w:val="28"/>
          <w:szCs w:val="28"/>
        </w:rPr>
      </w:pPr>
      <w:r>
        <w:rPr>
          <w:rFonts w:eastAsia="仿宋_GB2312"/>
          <w:b/>
          <w:sz w:val="28"/>
          <w:szCs w:val="28"/>
        </w:rPr>
        <w:t>保护措施</w:t>
      </w:r>
    </w:p>
    <w:p w14:paraId="6BA27647">
      <w:pPr>
        <w:snapToGrid w:val="0"/>
        <w:spacing w:line="360" w:lineRule="auto"/>
        <w:ind w:firstLine="562" w:firstLineChars="200"/>
        <w:rPr>
          <w:rFonts w:eastAsia="仿宋_GB2312"/>
          <w:sz w:val="28"/>
          <w:szCs w:val="28"/>
        </w:rPr>
      </w:pPr>
      <w:r>
        <w:rPr>
          <w:rFonts w:eastAsia="仿宋_GB2312"/>
          <w:b/>
          <w:bCs/>
          <w:sz w:val="28"/>
          <w:szCs w:val="28"/>
        </w:rPr>
        <w:t>水生生物多样性监测与保护：</w:t>
      </w:r>
      <w:r>
        <w:rPr>
          <w:rFonts w:eastAsia="仿宋_GB2312"/>
          <w:sz w:val="28"/>
          <w:szCs w:val="28"/>
        </w:rPr>
        <w:t>借助人工智能（AI）识别、水声学方法、环境DNA（eDNA）、人工调查等多种观测方法，持续监测长江江豚、刀鲚等珍稀濒物种现状，评估资源变化趋势。完善长江湿地生态廊道网络连通体系，将长江江豚、刀鲚</w:t>
      </w:r>
      <w:r>
        <w:rPr>
          <w:rFonts w:hint="eastAsia" w:eastAsia="仿宋_GB2312"/>
          <w:sz w:val="28"/>
          <w:szCs w:val="28"/>
        </w:rPr>
        <w:t>等珍稀濒危物种</w:t>
      </w:r>
      <w:r>
        <w:rPr>
          <w:rFonts w:eastAsia="仿宋_GB2312"/>
          <w:sz w:val="28"/>
          <w:szCs w:val="28"/>
        </w:rPr>
        <w:t>生殖洄游和索饵洄游的重要通道纳入生态廊道体系，恢复洄游性珍稀濒危水生生物种群数量。持续加大“长江禁渔”监督管理力度，守护“长江禁渔”成果。</w:t>
      </w:r>
    </w:p>
    <w:p w14:paraId="1FA9D647">
      <w:pPr>
        <w:snapToGrid w:val="0"/>
        <w:spacing w:line="360" w:lineRule="auto"/>
        <w:ind w:firstLine="562" w:firstLineChars="200"/>
        <w:rPr>
          <w:rFonts w:eastAsia="仿宋_GB2312"/>
          <w:sz w:val="28"/>
          <w:szCs w:val="28"/>
        </w:rPr>
      </w:pPr>
      <w:r>
        <w:rPr>
          <w:rFonts w:eastAsia="仿宋_GB2312"/>
          <w:b/>
          <w:bCs/>
          <w:sz w:val="28"/>
          <w:szCs w:val="28"/>
        </w:rPr>
        <w:t>渔业资源增殖放流：</w:t>
      </w:r>
      <w:r>
        <w:rPr>
          <w:rFonts w:eastAsia="仿宋_GB2312"/>
          <w:sz w:val="28"/>
          <w:szCs w:val="28"/>
        </w:rPr>
        <w:t>根据省以上农业生态保护与资源利用指导性任务，开展长江靖江段渔业资源增殖放流活动，恢复重要水域渔业资源和良好的渔业生态环境。每次放流品种根据地方水域实际情况选择。通过增殖放流活动，丰富靖江市天然水域的基础性渔业资源，从而优化渔业生态环境。</w:t>
      </w:r>
    </w:p>
    <w:p w14:paraId="0844BA67">
      <w:pPr>
        <w:snapToGrid w:val="0"/>
        <w:spacing w:line="360" w:lineRule="auto"/>
        <w:ind w:firstLine="562" w:firstLineChars="200"/>
        <w:rPr>
          <w:rFonts w:eastAsia="仿宋_GB2312"/>
          <w:sz w:val="28"/>
          <w:szCs w:val="28"/>
        </w:rPr>
      </w:pPr>
      <w:r>
        <w:rPr>
          <w:rFonts w:eastAsia="仿宋_GB2312"/>
          <w:b/>
          <w:bCs/>
          <w:sz w:val="28"/>
          <w:szCs w:val="28"/>
        </w:rPr>
        <w:t>生态保护红线管护：</w:t>
      </w:r>
      <w:r>
        <w:rPr>
          <w:rFonts w:eastAsia="仿宋_GB2312"/>
          <w:sz w:val="28"/>
          <w:szCs w:val="28"/>
        </w:rPr>
        <w:t>加强渔政执法巡航检查，组织护渔队进行巡航管理，清除拆除保护区内的一切违法渔业设施。对生态保护红线界碑、界桩、航标及大型标志牌等进行维护，对生态保护红线内的生态浮床等生态修复设施进行管理。</w:t>
      </w:r>
    </w:p>
    <w:p w14:paraId="48A89644">
      <w:pPr>
        <w:autoSpaceDE w:val="0"/>
        <w:autoSpaceDN w:val="0"/>
        <w:adjustRightInd w:val="0"/>
        <w:spacing w:line="360" w:lineRule="auto"/>
        <w:ind w:firstLine="562" w:firstLineChars="200"/>
        <w:rPr>
          <w:rFonts w:eastAsia="仿宋_GB2312"/>
          <w:sz w:val="28"/>
          <w:szCs w:val="28"/>
        </w:rPr>
      </w:pPr>
      <w:r>
        <w:rPr>
          <w:rFonts w:eastAsia="仿宋_GB2312"/>
          <w:b/>
          <w:bCs/>
          <w:sz w:val="28"/>
          <w:szCs w:val="28"/>
        </w:rPr>
        <w:t>沿江湿地保护与恢复：</w:t>
      </w:r>
      <w:r>
        <w:rPr>
          <w:rFonts w:eastAsia="仿宋_GB2312"/>
          <w:sz w:val="28"/>
          <w:szCs w:val="28"/>
        </w:rPr>
        <w:t>以自然恢复为主，遵循最小干预原则，通</w:t>
      </w:r>
      <w:r>
        <w:rPr>
          <w:rFonts w:hint="eastAsia" w:eastAsia="仿宋_GB2312"/>
          <w:sz w:val="28"/>
          <w:szCs w:val="28"/>
          <w:lang w:val="en-US" w:eastAsia="zh-CN"/>
        </w:rPr>
        <w:t>过</w:t>
      </w:r>
      <w:r>
        <w:rPr>
          <w:rFonts w:eastAsia="仿宋_GB2312"/>
          <w:sz w:val="28"/>
          <w:szCs w:val="28"/>
        </w:rPr>
        <w:t>加强</w:t>
      </w:r>
      <w:r>
        <w:rPr>
          <w:rFonts w:hint="eastAsia" w:eastAsia="仿宋_GB2312"/>
          <w:sz w:val="28"/>
          <w:szCs w:val="28"/>
        </w:rPr>
        <w:t>沿江</w:t>
      </w:r>
      <w:r>
        <w:rPr>
          <w:rFonts w:eastAsia="仿宋_GB2312"/>
          <w:sz w:val="28"/>
          <w:szCs w:val="28"/>
        </w:rPr>
        <w:t>湿地恢复与重建</w:t>
      </w:r>
      <w:r>
        <w:rPr>
          <w:rFonts w:hint="eastAsia" w:eastAsia="仿宋_GB2312"/>
          <w:sz w:val="28"/>
          <w:szCs w:val="28"/>
        </w:rPr>
        <w:t>，</w:t>
      </w:r>
      <w:r>
        <w:rPr>
          <w:rFonts w:eastAsia="仿宋_GB2312"/>
          <w:sz w:val="28"/>
          <w:szCs w:val="28"/>
        </w:rPr>
        <w:t>构建由岸到水的多重立体湿地植被系统，恢复</w:t>
      </w:r>
      <w:r>
        <w:rPr>
          <w:rFonts w:hint="eastAsia" w:eastAsia="仿宋_GB2312"/>
          <w:sz w:val="28"/>
          <w:szCs w:val="28"/>
        </w:rPr>
        <w:t>沿江</w:t>
      </w:r>
      <w:r>
        <w:rPr>
          <w:rFonts w:eastAsia="仿宋_GB2312"/>
          <w:sz w:val="28"/>
          <w:szCs w:val="28"/>
        </w:rPr>
        <w:t>湿地生态功能和生物多样性。在具体的恢复和重建过程中，对现有长势良好的挺水</w:t>
      </w:r>
      <w:bookmarkStart w:id="119" w:name="_GoBack"/>
      <w:bookmarkEnd w:id="119"/>
      <w:r>
        <w:rPr>
          <w:rFonts w:eastAsia="仿宋_GB2312"/>
          <w:sz w:val="28"/>
          <w:szCs w:val="28"/>
        </w:rPr>
        <w:t>植物和湿生草甸以保护为主，防止人为破坏，在此基础上，进行部分补充栽植和湿地生境恢复。</w:t>
      </w:r>
    </w:p>
    <w:p w14:paraId="1B96EBEC">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62" w:name="_Toc24100"/>
      <w:bookmarkStart w:id="63" w:name="_Toc27738"/>
      <w:r>
        <w:rPr>
          <w:rFonts w:eastAsia="仿宋_GB2312"/>
          <w:b/>
          <w:bCs/>
          <w:kern w:val="2"/>
          <w:sz w:val="28"/>
          <w:szCs w:val="28"/>
        </w:rPr>
        <w:t>4.2 一岛</w:t>
      </w:r>
      <w:bookmarkEnd w:id="62"/>
      <w:bookmarkEnd w:id="63"/>
    </w:p>
    <w:p w14:paraId="7A8B5899">
      <w:pPr>
        <w:autoSpaceDE w:val="0"/>
        <w:autoSpaceDN w:val="0"/>
        <w:adjustRightInd w:val="0"/>
        <w:spacing w:line="360" w:lineRule="auto"/>
        <w:ind w:firstLine="555"/>
        <w:rPr>
          <w:rFonts w:eastAsia="仿宋_GB2312"/>
          <w:b/>
          <w:sz w:val="28"/>
          <w:szCs w:val="28"/>
        </w:rPr>
      </w:pPr>
      <w:r>
        <w:rPr>
          <w:rFonts w:eastAsia="仿宋_GB2312"/>
          <w:b/>
          <w:sz w:val="28"/>
          <w:szCs w:val="28"/>
        </w:rPr>
        <w:t>1. 区域概况</w:t>
      </w:r>
    </w:p>
    <w:p w14:paraId="178AB655">
      <w:pPr>
        <w:spacing w:line="560" w:lineRule="exact"/>
        <w:ind w:firstLine="560"/>
        <w:rPr>
          <w:rFonts w:eastAsia="仿宋_GB2312"/>
        </w:rPr>
      </w:pPr>
      <w:r>
        <w:rPr>
          <w:rFonts w:eastAsia="仿宋_GB2312"/>
          <w:sz w:val="28"/>
          <w:szCs w:val="28"/>
        </w:rPr>
        <w:t>马洲岛是靖江最东端的一个小岛，位于长江干流内，占地约13.5平方公里，分布有江心洲重要湿地生态空间管控区域。靖江市禁止在马洲岛进行任何形式开发，保持滩涂、芦苇荡等原生态风貌，湿地生态系统环境良好。马洲岛上生物资源丰富，有物种776种，包括陆生维管植物245种、鸟类221种、两栖动物11种、哺乳动物7种、陆生昆虫132种和水生生物160种。其中，国家一级重点保护野生动物4种，为黄胸鹀、黑脸琵鹭、东方白鹳和白头鹤。2024年，马洲岛入选省级“生态岛”试验区试点项目。</w:t>
      </w:r>
    </w:p>
    <w:p w14:paraId="120A952F">
      <w:pPr>
        <w:numPr>
          <w:ilvl w:val="0"/>
          <w:numId w:val="3"/>
        </w:numPr>
        <w:autoSpaceDE w:val="0"/>
        <w:autoSpaceDN w:val="0"/>
        <w:adjustRightInd w:val="0"/>
        <w:spacing w:line="360" w:lineRule="auto"/>
        <w:ind w:firstLine="555"/>
        <w:rPr>
          <w:rFonts w:eastAsia="仿宋_GB2312"/>
          <w:b/>
          <w:sz w:val="28"/>
          <w:szCs w:val="28"/>
        </w:rPr>
      </w:pPr>
      <w:r>
        <w:rPr>
          <w:rFonts w:eastAsia="仿宋_GB2312"/>
          <w:b/>
          <w:sz w:val="28"/>
          <w:szCs w:val="28"/>
        </w:rPr>
        <w:t>重点保护对象</w:t>
      </w:r>
    </w:p>
    <w:p w14:paraId="65053911">
      <w:pPr>
        <w:spacing w:line="560" w:lineRule="exact"/>
        <w:ind w:firstLine="560"/>
        <w:rPr>
          <w:rFonts w:eastAsia="仿宋_GB2312"/>
          <w:sz w:val="28"/>
          <w:szCs w:val="28"/>
        </w:rPr>
      </w:pPr>
      <w:r>
        <w:rPr>
          <w:rFonts w:eastAsia="仿宋_GB2312"/>
          <w:sz w:val="28"/>
          <w:szCs w:val="28"/>
        </w:rPr>
        <w:t>重点保护马洲岛野大豆种群、鸟类栖息地以及</w:t>
      </w:r>
      <w:r>
        <w:rPr>
          <w:rFonts w:hint="eastAsia" w:eastAsia="仿宋_GB2312"/>
          <w:sz w:val="28"/>
          <w:szCs w:val="28"/>
        </w:rPr>
        <w:t>农林生态系统</w:t>
      </w:r>
      <w:r>
        <w:rPr>
          <w:rFonts w:eastAsia="仿宋_GB2312"/>
          <w:sz w:val="28"/>
          <w:szCs w:val="28"/>
        </w:rPr>
        <w:t>。</w:t>
      </w:r>
    </w:p>
    <w:p w14:paraId="4FB7F2CC">
      <w:pPr>
        <w:numPr>
          <w:ilvl w:val="0"/>
          <w:numId w:val="3"/>
        </w:numPr>
        <w:adjustRightInd w:val="0"/>
        <w:spacing w:line="360" w:lineRule="auto"/>
        <w:ind w:firstLine="555"/>
        <w:rPr>
          <w:rFonts w:eastAsia="仿宋_GB2312"/>
          <w:b/>
          <w:sz w:val="28"/>
          <w:szCs w:val="28"/>
        </w:rPr>
      </w:pPr>
      <w:r>
        <w:rPr>
          <w:rFonts w:eastAsia="仿宋_GB2312"/>
          <w:b/>
          <w:sz w:val="28"/>
          <w:szCs w:val="28"/>
        </w:rPr>
        <w:t>重点项目</w:t>
      </w:r>
    </w:p>
    <w:p w14:paraId="75798A07">
      <w:pPr>
        <w:pStyle w:val="4"/>
        <w:numPr>
          <w:ilvl w:val="255"/>
          <w:numId w:val="0"/>
        </w:numPr>
        <w:ind w:firstLine="560" w:firstLineChars="200"/>
        <w:rPr>
          <w:rFonts w:ascii="Times New Roman" w:hAnsi="Times New Roman" w:eastAsia="仿宋_GB2312"/>
          <w:b w:val="0"/>
          <w:bCs/>
          <w:sz w:val="28"/>
          <w:szCs w:val="28"/>
        </w:rPr>
      </w:pPr>
      <w:r>
        <w:rPr>
          <w:rFonts w:ascii="Times New Roman" w:hAnsi="Times New Roman" w:eastAsia="仿宋_GB2312"/>
          <w:b w:val="0"/>
          <w:bCs/>
          <w:sz w:val="28"/>
          <w:szCs w:val="28"/>
        </w:rPr>
        <w:t>马洲岛高潮位鸟类栖息地建设工程、马洲岛退化人工林生态恢复工程、马洲岛物种保护小区建设工程。</w:t>
      </w:r>
    </w:p>
    <w:p w14:paraId="1E2796AC">
      <w:pPr>
        <w:numPr>
          <w:ilvl w:val="0"/>
          <w:numId w:val="3"/>
        </w:numPr>
        <w:adjustRightInd w:val="0"/>
        <w:spacing w:line="360" w:lineRule="auto"/>
        <w:ind w:firstLine="555"/>
        <w:rPr>
          <w:rFonts w:eastAsia="仿宋_GB2312"/>
          <w:b/>
          <w:sz w:val="28"/>
          <w:szCs w:val="28"/>
        </w:rPr>
      </w:pPr>
      <w:r>
        <w:rPr>
          <w:rFonts w:eastAsia="仿宋_GB2312"/>
          <w:b/>
          <w:sz w:val="28"/>
          <w:szCs w:val="28"/>
        </w:rPr>
        <w:t>保护措施</w:t>
      </w:r>
    </w:p>
    <w:p w14:paraId="1EBA7F7A">
      <w:pPr>
        <w:autoSpaceDE w:val="0"/>
        <w:autoSpaceDN w:val="0"/>
        <w:adjustRightInd w:val="0"/>
        <w:spacing w:line="360" w:lineRule="auto"/>
        <w:ind w:firstLine="562" w:firstLineChars="200"/>
        <w:rPr>
          <w:rFonts w:eastAsia="仿宋_GB2312"/>
          <w:sz w:val="28"/>
          <w:szCs w:val="28"/>
        </w:rPr>
      </w:pPr>
      <w:r>
        <w:rPr>
          <w:rFonts w:eastAsia="仿宋_GB2312"/>
          <w:b/>
          <w:bCs/>
          <w:sz w:val="28"/>
          <w:szCs w:val="28"/>
        </w:rPr>
        <w:t>湿地生态保育与恢复：</w:t>
      </w:r>
      <w:r>
        <w:rPr>
          <w:rFonts w:eastAsia="仿宋_GB2312"/>
          <w:sz w:val="28"/>
          <w:szCs w:val="28"/>
        </w:rPr>
        <w:t>针对马洲岛西侧生态湿地生境单一，易受涨潮影响，无法为鸟类提供多样化的栖息地的现状，以营造高潮位鸟类栖息地为目标，开展生态湿地生态保育与恢复。在马洲岛西侧新生湿地，以维持区域内自然原貌为主，不过多干预湿地自然演替。在适宜自然恢复的区域，轻微改造修复，形成深水区、浅滩和生境岛等生境类型，打造多种类型的鸟类栖息地。在湿地人工恢复区，适当刈割过密植被，混合种植稀疏低矮水生乔灌木，为鹭鸟等涉禽及小型鸣禽提供栖息场所。同时针对区域内的原有潮沟、沟渠水系进行清淤疏通，形成相互连通的水系系统。</w:t>
      </w:r>
    </w:p>
    <w:p w14:paraId="757BAFB4">
      <w:pPr>
        <w:autoSpaceDE w:val="0"/>
        <w:autoSpaceDN w:val="0"/>
        <w:adjustRightInd w:val="0"/>
        <w:spacing w:line="360" w:lineRule="auto"/>
        <w:ind w:firstLine="562" w:firstLineChars="200"/>
        <w:rPr>
          <w:rFonts w:eastAsia="仿宋_GB2312"/>
          <w:sz w:val="28"/>
          <w:szCs w:val="28"/>
        </w:rPr>
      </w:pPr>
      <w:r>
        <w:rPr>
          <w:rFonts w:hint="eastAsia" w:eastAsia="仿宋_GB2312"/>
          <w:b/>
          <w:sz w:val="28"/>
          <w:szCs w:val="28"/>
        </w:rPr>
        <w:t>退化</w:t>
      </w:r>
      <w:r>
        <w:rPr>
          <w:rFonts w:eastAsia="仿宋_GB2312"/>
          <w:b/>
          <w:sz w:val="28"/>
          <w:szCs w:val="28"/>
        </w:rPr>
        <w:t>意杨林生态恢复：</w:t>
      </w:r>
      <w:r>
        <w:rPr>
          <w:rFonts w:eastAsia="仿宋_GB2312"/>
          <w:sz w:val="28"/>
          <w:szCs w:val="28"/>
        </w:rPr>
        <w:t>在强调森林生态系统整体性保护的基础上，分期开展意杨林的采伐和更新。开展人工促进退化意杨林更新恢复试验研究，遵循“适地适树，乡土为主”的原则，根据马洲岛的立地条件以及树种的生态特性，尽量选择乡土物种、原生浆果树种作为人工林更新的植物，注重“乔木为主，多层结合”，合理配置乔灌木构成，加大高大乔木、食源树种和乡土植物的种植比例，逐步将结构单一稳定性查的意杨林改造提升为异龄、多层、混交的森林生态系统，提升马洲岛森林的固碳能力和增汇潜力，为野生动物提供优质栖息地。</w:t>
      </w:r>
    </w:p>
    <w:p w14:paraId="5C2924B9">
      <w:pPr>
        <w:autoSpaceDE w:val="0"/>
        <w:autoSpaceDN w:val="0"/>
        <w:adjustRightInd w:val="0"/>
        <w:spacing w:line="360" w:lineRule="auto"/>
        <w:ind w:firstLine="562" w:firstLineChars="200"/>
        <w:rPr>
          <w:rFonts w:eastAsia="仿宋_GB2312"/>
          <w:sz w:val="28"/>
          <w:szCs w:val="28"/>
        </w:rPr>
      </w:pPr>
      <w:r>
        <w:rPr>
          <w:rFonts w:eastAsia="仿宋_GB2312"/>
          <w:b/>
          <w:bCs/>
          <w:sz w:val="28"/>
          <w:szCs w:val="28"/>
        </w:rPr>
        <w:t>马洲岛生态廊道建设：</w:t>
      </w:r>
      <w:r>
        <w:rPr>
          <w:rFonts w:eastAsia="仿宋_GB2312"/>
          <w:sz w:val="28"/>
          <w:szCs w:val="28"/>
        </w:rPr>
        <w:t>围绕马洲岛的主要道路、河道和江堤，将岛内现有林地进行整合，建立森林林带，连接岛内主要野生动物栖息地，促进野生动物种群间的交流和迁徙，形成野生动物迁徙和鸟类栖息的森林生态廊道。在马洲岛江堤沿线及主要道路种植适宜树种，辅以乡土树种和原生浆果植物，提升江堤绿化水平，梳理大堤内侧绿化，联通岛内各主要林区。恢复当地森林生态系统，提升岛内各生态系统联通性，打造鸟类、哺乳动物、喜阴植物的天然栖息之地，构建水鸟和哺乳动物迁徙通道，提升区域生物多样性水平。</w:t>
      </w:r>
    </w:p>
    <w:p w14:paraId="2513682F">
      <w:pPr>
        <w:pStyle w:val="4"/>
        <w:rPr>
          <w:rFonts w:ascii="Times New Roman" w:hAnsi="Times New Roman" w:eastAsia="仿宋_GB2312"/>
          <w:b w:val="0"/>
          <w:bCs/>
          <w:sz w:val="28"/>
          <w:szCs w:val="28"/>
        </w:rPr>
      </w:pPr>
      <w:r>
        <w:rPr>
          <w:rFonts w:ascii="Times New Roman" w:hAnsi="Times New Roman" w:eastAsia="仿宋_GB2312"/>
          <w:sz w:val="28"/>
          <w:szCs w:val="28"/>
        </w:rPr>
        <w:t>建设物种保护小区：</w:t>
      </w:r>
      <w:r>
        <w:rPr>
          <w:rFonts w:ascii="Times New Roman" w:hAnsi="Times New Roman" w:eastAsia="仿宋_GB2312"/>
          <w:b w:val="0"/>
          <w:bCs/>
          <w:sz w:val="28"/>
          <w:szCs w:val="28"/>
        </w:rPr>
        <w:t>针对靖江马洲岛“生态岛”试验区内发现的珍稀濒危物种种群及分布点，根据保护物种确定原则，建设野大豆保护小区、湿地鸟类保护小区等多种形式的生物多样性保护小区。重点保护野大豆种群和湿地特色水鸟，推进野大豆原生生境和栖息地伴生物种保护，恢复和保护珍稀濒危鸟类的栖息环境，减少人为干扰，维护其栖息、繁衍和迁徙的原生环境。科学合理地确定保护小区的位置、边界和功能分区，完善保护小区基础设施和管理体系，制定科学合理的管理措施，实现被保护对象长期稳定生存、繁育和正常演替，保护生态环境。</w:t>
      </w:r>
    </w:p>
    <w:p w14:paraId="11E3F53A">
      <w:pPr>
        <w:pStyle w:val="4"/>
        <w:rPr>
          <w:rFonts w:ascii="Times New Roman" w:hAnsi="Times New Roman" w:eastAsia="仿宋_GB2312"/>
          <w:b w:val="0"/>
          <w:bCs/>
          <w:sz w:val="28"/>
          <w:szCs w:val="28"/>
        </w:rPr>
      </w:pPr>
      <w:r>
        <w:rPr>
          <w:rFonts w:ascii="Times New Roman" w:hAnsi="Times New Roman" w:eastAsia="仿宋_GB2312"/>
          <w:sz w:val="28"/>
          <w:szCs w:val="28"/>
        </w:rPr>
        <w:t>发展马洲岛生态农业：</w:t>
      </w:r>
      <w:r>
        <w:rPr>
          <w:rFonts w:ascii="Times New Roman" w:hAnsi="Times New Roman" w:eastAsia="仿宋_GB2312"/>
          <w:b w:val="0"/>
          <w:bCs/>
          <w:sz w:val="28"/>
          <w:szCs w:val="28"/>
        </w:rPr>
        <w:t>立足靖江马洲岛“生态岛”试验区优越的生态环境条件，以绿色优质稻麦规模化生产为重点，以高效生态农业为示范，综合采用“水稻+N”绿色高效种植及林下养殖生态循环模式，示范推广稻虾、稻鸭、稻鱼、稻鳅、稻蟹等稻田种养结合模式，扩大豆麦、稻油、稻瓜等轮作规模，发展绿色、有机农产品生产，提高生态产品供给能力和复合种植效益，全力塑造生态优质为特征具有区域知名度的有机农产品种养基地典范。</w:t>
      </w:r>
    </w:p>
    <w:p w14:paraId="47FAA321">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64" w:name="_Toc31777"/>
      <w:bookmarkStart w:id="65" w:name="_Toc19806"/>
      <w:r>
        <w:rPr>
          <w:rFonts w:eastAsia="仿宋_GB2312"/>
          <w:b/>
          <w:bCs/>
          <w:kern w:val="2"/>
          <w:sz w:val="28"/>
          <w:szCs w:val="28"/>
        </w:rPr>
        <w:t>4.3 两区</w:t>
      </w:r>
      <w:bookmarkEnd w:id="64"/>
      <w:bookmarkEnd w:id="65"/>
    </w:p>
    <w:p w14:paraId="6039B8BF">
      <w:pPr>
        <w:autoSpaceDE w:val="0"/>
        <w:autoSpaceDN w:val="0"/>
        <w:adjustRightInd w:val="0"/>
        <w:spacing w:line="360" w:lineRule="auto"/>
        <w:ind w:firstLine="555"/>
        <w:rPr>
          <w:rFonts w:eastAsia="仿宋_GB2312"/>
          <w:b/>
          <w:sz w:val="28"/>
          <w:szCs w:val="28"/>
        </w:rPr>
      </w:pPr>
      <w:r>
        <w:rPr>
          <w:rFonts w:eastAsia="仿宋_GB2312"/>
          <w:b/>
          <w:sz w:val="28"/>
          <w:szCs w:val="28"/>
        </w:rPr>
        <w:t>1. 区域概况</w:t>
      </w:r>
    </w:p>
    <w:p w14:paraId="57E6BFC2">
      <w:pPr>
        <w:autoSpaceDE w:val="0"/>
        <w:autoSpaceDN w:val="0"/>
        <w:adjustRightInd w:val="0"/>
        <w:spacing w:line="360" w:lineRule="auto"/>
        <w:ind w:firstLine="560" w:firstLineChars="200"/>
        <w:rPr>
          <w:rFonts w:eastAsia="仿宋_GB2312"/>
          <w:sz w:val="28"/>
          <w:szCs w:val="28"/>
        </w:rPr>
      </w:pPr>
      <w:r>
        <w:rPr>
          <w:rFonts w:eastAsia="仿宋_GB2312"/>
          <w:sz w:val="28"/>
          <w:szCs w:val="28"/>
        </w:rPr>
        <w:t>靖江香沙芋种质资源保护区位于靖江市北侧，是靖江市面积最大的生态空间管控区域，主导生态功能为种质资源保护，主要为具有一定生态功能的农田。长江靖江段中华绒螯蟹鳜鱼国家级水产种质资源保护区位于靖江市东南部，东侧紧邻江心洲重要湿地，主导生态功能为渔业资源保护。</w:t>
      </w:r>
    </w:p>
    <w:p w14:paraId="1623DAB0">
      <w:pPr>
        <w:autoSpaceDE w:val="0"/>
        <w:autoSpaceDN w:val="0"/>
        <w:adjustRightInd w:val="0"/>
        <w:spacing w:line="360" w:lineRule="auto"/>
        <w:ind w:firstLine="555"/>
        <w:rPr>
          <w:rFonts w:eastAsia="仿宋_GB2312"/>
          <w:b/>
          <w:sz w:val="28"/>
          <w:szCs w:val="28"/>
        </w:rPr>
      </w:pPr>
      <w:r>
        <w:rPr>
          <w:rFonts w:eastAsia="仿宋_GB2312"/>
          <w:b/>
          <w:sz w:val="28"/>
          <w:szCs w:val="28"/>
        </w:rPr>
        <w:t>2. 重点保护对象</w:t>
      </w:r>
    </w:p>
    <w:p w14:paraId="6E82E084">
      <w:pPr>
        <w:autoSpaceDE w:val="0"/>
        <w:autoSpaceDN w:val="0"/>
        <w:adjustRightInd w:val="0"/>
        <w:spacing w:line="360" w:lineRule="auto"/>
        <w:ind w:firstLine="560" w:firstLineChars="200"/>
        <w:rPr>
          <w:rFonts w:eastAsia="仿宋_GB2312"/>
          <w:sz w:val="28"/>
          <w:szCs w:val="28"/>
        </w:rPr>
      </w:pPr>
      <w:r>
        <w:rPr>
          <w:rFonts w:eastAsia="仿宋_GB2312"/>
          <w:sz w:val="28"/>
          <w:szCs w:val="28"/>
        </w:rPr>
        <w:t>重点保护香沙芋种质资源，以及中华绒螯蟹、鳜鱼水产种质资源。</w:t>
      </w:r>
    </w:p>
    <w:p w14:paraId="5C4F11C9">
      <w:pPr>
        <w:autoSpaceDE w:val="0"/>
        <w:autoSpaceDN w:val="0"/>
        <w:adjustRightInd w:val="0"/>
        <w:spacing w:line="360" w:lineRule="auto"/>
        <w:ind w:firstLine="562" w:firstLineChars="200"/>
        <w:rPr>
          <w:rFonts w:eastAsia="仿宋_GB2312"/>
          <w:b/>
          <w:bCs/>
          <w:sz w:val="28"/>
          <w:szCs w:val="28"/>
        </w:rPr>
      </w:pPr>
      <w:r>
        <w:rPr>
          <w:rFonts w:eastAsia="仿宋_GB2312"/>
          <w:b/>
          <w:bCs/>
          <w:sz w:val="28"/>
          <w:szCs w:val="28"/>
        </w:rPr>
        <w:t>3.重点项目</w:t>
      </w:r>
    </w:p>
    <w:p w14:paraId="4F7917F4">
      <w:pPr>
        <w:pStyle w:val="4"/>
        <w:rPr>
          <w:rFonts w:ascii="Times New Roman" w:hAnsi="Times New Roman" w:eastAsia="仿宋_GB2312"/>
          <w:b w:val="0"/>
          <w:bCs/>
        </w:rPr>
      </w:pPr>
      <w:r>
        <w:rPr>
          <w:rFonts w:ascii="Times New Roman" w:hAnsi="Times New Roman" w:eastAsia="仿宋_GB2312"/>
          <w:b w:val="0"/>
          <w:bCs/>
          <w:sz w:val="28"/>
          <w:szCs w:val="28"/>
        </w:rPr>
        <w:t>中华绒螯蟹鳜鱼国家级水产种质资源保护工程。</w:t>
      </w:r>
    </w:p>
    <w:p w14:paraId="0F4F9EE2">
      <w:pPr>
        <w:autoSpaceDE w:val="0"/>
        <w:autoSpaceDN w:val="0"/>
        <w:adjustRightInd w:val="0"/>
        <w:spacing w:line="360" w:lineRule="auto"/>
        <w:ind w:firstLine="555"/>
        <w:rPr>
          <w:rFonts w:eastAsia="仿宋_GB2312"/>
          <w:b/>
          <w:sz w:val="28"/>
          <w:szCs w:val="28"/>
        </w:rPr>
      </w:pPr>
      <w:r>
        <w:rPr>
          <w:rFonts w:eastAsia="仿宋_GB2312"/>
          <w:b/>
          <w:sz w:val="28"/>
          <w:szCs w:val="28"/>
        </w:rPr>
        <w:t>4. 保护措施</w:t>
      </w:r>
    </w:p>
    <w:p w14:paraId="542D41B8">
      <w:pPr>
        <w:autoSpaceDE w:val="0"/>
        <w:autoSpaceDN w:val="0"/>
        <w:adjustRightInd w:val="0"/>
        <w:spacing w:line="360" w:lineRule="auto"/>
        <w:ind w:firstLine="562" w:firstLineChars="200"/>
        <w:jc w:val="both"/>
        <w:rPr>
          <w:rFonts w:eastAsia="仿宋_GB2312"/>
          <w:sz w:val="28"/>
          <w:szCs w:val="28"/>
        </w:rPr>
      </w:pPr>
      <w:r>
        <w:rPr>
          <w:rFonts w:eastAsia="仿宋_GB2312"/>
          <w:b/>
          <w:bCs/>
          <w:sz w:val="28"/>
          <w:szCs w:val="28"/>
        </w:rPr>
        <w:t>保护香沙芋种质资源：</w:t>
      </w:r>
      <w:r>
        <w:rPr>
          <w:rFonts w:eastAsia="仿宋_GB2312"/>
          <w:sz w:val="28"/>
          <w:szCs w:val="28"/>
        </w:rPr>
        <w:t>建设并完善靖江香沙芋种质资源库、脱毒种芋扩繁基地等，推进香沙芋生产用种芋的全面脱毒更新，种植香沙芋组培脱毒苗，突破香沙芋种苗繁育、种质保护关键技术，培育优质香沙芋品种，提升香沙芋良种覆盖率。构建香沙芋品种选育、品质提升、标准化生产规范体系，推进机械化生产，优化香沙芋培育、种植、生产、销售产业链，加强香沙芋产品开发，完善田头冷库、加工体系建设，探索更多“芋”制品，提升香沙芋产品附加值。依托香沙芋科技集成示范基地、芋博园等项目，打造靖江香沙芋示范展示玻璃温室，开展靖江香沙芋文化与品牌宣传，强化香沙芋产业的科技示范与辐射带动能力。</w:t>
      </w:r>
    </w:p>
    <w:p w14:paraId="1AFEE0B9">
      <w:pPr>
        <w:autoSpaceDE w:val="0"/>
        <w:autoSpaceDN w:val="0"/>
        <w:adjustRightInd w:val="0"/>
        <w:spacing w:line="360" w:lineRule="auto"/>
        <w:ind w:firstLine="562" w:firstLineChars="200"/>
        <w:jc w:val="both"/>
        <w:rPr>
          <w:rFonts w:eastAsia="仿宋_GB2312"/>
          <w:sz w:val="28"/>
          <w:szCs w:val="28"/>
        </w:rPr>
      </w:pPr>
      <w:r>
        <w:rPr>
          <w:rFonts w:eastAsia="仿宋_GB2312"/>
          <w:b/>
          <w:bCs/>
          <w:sz w:val="28"/>
          <w:szCs w:val="28"/>
        </w:rPr>
        <w:t>保护水产种质资源：</w:t>
      </w:r>
      <w:r>
        <w:rPr>
          <w:rFonts w:eastAsia="仿宋_GB2312"/>
          <w:sz w:val="28"/>
          <w:szCs w:val="28"/>
        </w:rPr>
        <w:t>研究并应用推广以生态浮床、人工鱼巢、人工绿洲、底栖生物放流为主的立体式生态修复，营造鱼类繁殖生境，吸收氮磷、净化水体，恢复渔业资源。严格实施“长江十年禁渔”，按期开展渔政执法巡航检查，组织护渔队进行巡航管理，清除拆除一切违法渔业设施，包括网箭、虾笼等。在种质资源保护区内建立监测站点，对珍稀濒危水生生物种群状况开展长期动态监测，及时系统了解水生生物资源状况及其变化趋势。对水产种质资源保护区界碑、界桩、航标及大型标志牌等进行维护保持监控设备正常运转和网络通畅。</w:t>
      </w:r>
    </w:p>
    <w:p w14:paraId="4877FE26">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66" w:name="_Toc716"/>
      <w:bookmarkStart w:id="67" w:name="_Toc8506"/>
      <w:r>
        <w:rPr>
          <w:rFonts w:eastAsia="仿宋_GB2312"/>
          <w:b/>
          <w:bCs/>
          <w:kern w:val="2"/>
          <w:sz w:val="28"/>
          <w:szCs w:val="28"/>
        </w:rPr>
        <w:t>4.4 多廊</w:t>
      </w:r>
      <w:bookmarkEnd w:id="66"/>
      <w:bookmarkEnd w:id="67"/>
    </w:p>
    <w:p w14:paraId="7370BED6">
      <w:pPr>
        <w:autoSpaceDE w:val="0"/>
        <w:autoSpaceDN w:val="0"/>
        <w:adjustRightInd w:val="0"/>
        <w:spacing w:line="360" w:lineRule="auto"/>
        <w:ind w:firstLine="555"/>
        <w:rPr>
          <w:rFonts w:eastAsia="仿宋_GB2312"/>
          <w:b/>
          <w:sz w:val="28"/>
          <w:szCs w:val="28"/>
        </w:rPr>
      </w:pPr>
      <w:r>
        <w:rPr>
          <w:rFonts w:eastAsia="仿宋_GB2312"/>
          <w:b/>
          <w:sz w:val="28"/>
          <w:szCs w:val="28"/>
        </w:rPr>
        <w:t>1. 区域概况</w:t>
      </w:r>
    </w:p>
    <w:p w14:paraId="2CEBF9E6">
      <w:pPr>
        <w:autoSpaceDE w:val="0"/>
        <w:autoSpaceDN w:val="0"/>
        <w:adjustRightInd w:val="0"/>
        <w:spacing w:line="360" w:lineRule="auto"/>
        <w:ind w:firstLine="555"/>
        <w:rPr>
          <w:rStyle w:val="19"/>
          <w:rFonts w:eastAsia="仿宋_GB2312"/>
        </w:rPr>
      </w:pPr>
      <w:r>
        <w:rPr>
          <w:rFonts w:eastAsia="仿宋_GB2312"/>
          <w:sz w:val="28"/>
          <w:szCs w:val="28"/>
        </w:rPr>
        <w:t>“多廊”包括美人港至川心港、上六圩港、二通道、十圩港、百花港—罗家桥港、夏仕港、横港等生态廊道。美人港、川心港、上六圩港、十圩港、百花港—罗家桥港、夏仕港是靖江市南北向河流，美人港至川心港是美人港与川心港一带的生态区域，横港是靖江市东西向河流，二通道是靖江市南北向道路绿廊，这些横纵交错的河流、道路构成了靖江市的生态廊道骨架。</w:t>
      </w:r>
    </w:p>
    <w:p w14:paraId="74772488">
      <w:pPr>
        <w:numPr>
          <w:ilvl w:val="0"/>
          <w:numId w:val="4"/>
        </w:numPr>
        <w:autoSpaceDE w:val="0"/>
        <w:autoSpaceDN w:val="0"/>
        <w:adjustRightInd w:val="0"/>
        <w:spacing w:line="360" w:lineRule="auto"/>
        <w:ind w:firstLine="555"/>
        <w:rPr>
          <w:rFonts w:eastAsia="仿宋_GB2312"/>
          <w:b/>
          <w:sz w:val="28"/>
          <w:szCs w:val="28"/>
        </w:rPr>
      </w:pPr>
      <w:r>
        <w:rPr>
          <w:rFonts w:eastAsia="仿宋_GB2312"/>
          <w:b/>
          <w:sz w:val="28"/>
          <w:szCs w:val="28"/>
        </w:rPr>
        <w:t>重点保护对象</w:t>
      </w:r>
    </w:p>
    <w:p w14:paraId="75D734EE">
      <w:pPr>
        <w:autoSpaceDE w:val="0"/>
        <w:autoSpaceDN w:val="0"/>
        <w:adjustRightInd w:val="0"/>
        <w:spacing w:line="360" w:lineRule="auto"/>
        <w:ind w:firstLine="560" w:firstLineChars="200"/>
        <w:rPr>
          <w:rFonts w:eastAsia="仿宋_GB2312"/>
          <w:sz w:val="28"/>
          <w:szCs w:val="28"/>
        </w:rPr>
      </w:pPr>
      <w:r>
        <w:rPr>
          <w:rFonts w:eastAsia="仿宋_GB2312"/>
          <w:sz w:val="28"/>
          <w:szCs w:val="28"/>
        </w:rPr>
        <w:t>在河流廊道重点实施水生态保护与修复，建设滨河湿地缓冲带，增加动植物栖息地和动物迁徙交流通道，提高生态系统连通性。在道路廊道两侧适当增加绿地缓冲带，补充生态林带，增加景观多样性。</w:t>
      </w:r>
    </w:p>
    <w:p w14:paraId="6B95696E">
      <w:pPr>
        <w:numPr>
          <w:ilvl w:val="0"/>
          <w:numId w:val="4"/>
        </w:numPr>
        <w:adjustRightInd w:val="0"/>
        <w:snapToGrid w:val="0"/>
        <w:spacing w:line="360" w:lineRule="auto"/>
        <w:ind w:firstLine="555"/>
        <w:rPr>
          <w:rFonts w:eastAsia="仿宋_GB2312"/>
          <w:b/>
          <w:sz w:val="28"/>
          <w:szCs w:val="28"/>
        </w:rPr>
      </w:pPr>
      <w:r>
        <w:rPr>
          <w:rFonts w:eastAsia="仿宋_GB2312"/>
          <w:b/>
          <w:sz w:val="28"/>
          <w:szCs w:val="28"/>
        </w:rPr>
        <w:t>重点项目</w:t>
      </w:r>
    </w:p>
    <w:p w14:paraId="6FAFCA73">
      <w:pPr>
        <w:numPr>
          <w:ilvl w:val="255"/>
          <w:numId w:val="0"/>
        </w:numPr>
        <w:adjustRightInd w:val="0"/>
        <w:spacing w:line="360" w:lineRule="auto"/>
        <w:ind w:firstLine="560" w:firstLineChars="200"/>
        <w:rPr>
          <w:rFonts w:eastAsia="仿宋_GB2312"/>
          <w:bCs/>
          <w:sz w:val="28"/>
          <w:szCs w:val="28"/>
        </w:rPr>
      </w:pPr>
      <w:r>
        <w:rPr>
          <w:rFonts w:eastAsia="仿宋_GB2312"/>
          <w:bCs/>
          <w:sz w:val="28"/>
          <w:szCs w:val="28"/>
        </w:rPr>
        <w:t>夏仕港生态涵养区建设、城市生态屏障</w:t>
      </w:r>
      <w:r>
        <w:rPr>
          <w:rFonts w:hint="eastAsia" w:eastAsia="仿宋_GB2312"/>
          <w:bCs/>
          <w:sz w:val="28"/>
          <w:szCs w:val="28"/>
        </w:rPr>
        <w:t>工程</w:t>
      </w:r>
      <w:r>
        <w:rPr>
          <w:rFonts w:eastAsia="仿宋_GB2312"/>
          <w:bCs/>
          <w:sz w:val="28"/>
          <w:szCs w:val="28"/>
        </w:rPr>
        <w:t>、国土绿化工程。</w:t>
      </w:r>
    </w:p>
    <w:p w14:paraId="64A88646">
      <w:pPr>
        <w:numPr>
          <w:ilvl w:val="0"/>
          <w:numId w:val="4"/>
        </w:numPr>
        <w:adjustRightInd w:val="0"/>
        <w:ind w:firstLine="555"/>
        <w:rPr>
          <w:rFonts w:eastAsia="仿宋_GB2312"/>
          <w:b/>
          <w:sz w:val="28"/>
          <w:szCs w:val="28"/>
        </w:rPr>
      </w:pPr>
      <w:r>
        <w:rPr>
          <w:rFonts w:eastAsia="仿宋_GB2312"/>
          <w:b/>
          <w:sz w:val="28"/>
          <w:szCs w:val="28"/>
        </w:rPr>
        <w:t>保护措施</w:t>
      </w:r>
    </w:p>
    <w:p w14:paraId="1A371B80">
      <w:pPr>
        <w:pStyle w:val="4"/>
        <w:snapToGrid w:val="0"/>
        <w:spacing w:line="360" w:lineRule="auto"/>
        <w:ind w:firstLine="560"/>
        <w:rPr>
          <w:rFonts w:ascii="Times New Roman" w:hAnsi="Times New Roman" w:eastAsia="仿宋_GB2312"/>
          <w:b w:val="0"/>
          <w:sz w:val="28"/>
          <w:szCs w:val="28"/>
        </w:rPr>
      </w:pPr>
      <w:r>
        <w:rPr>
          <w:rFonts w:ascii="Times New Roman" w:hAnsi="Times New Roman" w:eastAsia="仿宋_GB2312"/>
          <w:bCs/>
          <w:sz w:val="28"/>
          <w:szCs w:val="28"/>
        </w:rPr>
        <w:t>加强河流生态廊道建设：</w:t>
      </w:r>
      <w:r>
        <w:rPr>
          <w:rFonts w:ascii="Times New Roman" w:hAnsi="Times New Roman" w:eastAsia="仿宋_GB2312"/>
          <w:b w:val="0"/>
          <w:sz w:val="28"/>
          <w:szCs w:val="28"/>
        </w:rPr>
        <w:t>构建美人港至川心港、</w:t>
      </w:r>
      <w:r>
        <w:rPr>
          <w:rFonts w:ascii="Times New Roman" w:hAnsi="Times New Roman" w:eastAsia="仿宋_GB2312"/>
          <w:b w:val="0"/>
          <w:bCs/>
          <w:sz w:val="28"/>
          <w:szCs w:val="28"/>
        </w:rPr>
        <w:t>上六圩港、十圩港、百花港—罗家桥港、夏仕港、横港等河流</w:t>
      </w:r>
      <w:r>
        <w:rPr>
          <w:rFonts w:ascii="Times New Roman" w:hAnsi="Times New Roman" w:eastAsia="仿宋_GB2312"/>
          <w:b w:val="0"/>
          <w:sz w:val="28"/>
          <w:szCs w:val="28"/>
        </w:rPr>
        <w:t>生态廊道，定期开展河道清淤、垃圾清理，提高河流水系连通性、流动性和自净能力，维护河流廊道的水质健康，增强各类生态源地间的连通性，提高河流湿地生物多样性。建设河湖生态缓冲带，采用人工湿地、氮磷养分拦截沟渠等生态措施，构建多梯度的生态缓冲带，提升河湖生态系统完整性和生态服务功能。在河流廊道缓冲区种植错落有致、丰富多样的乡土植物，注重湿生植物、挺水植物、沉水植物、浮叶植物、漂浮植物的多样化配置，营造复杂的湿地垂直结构与水平结构，丰富湿地动物的食源，为其提供隐蔽、繁衍、觅食的空间。</w:t>
      </w:r>
    </w:p>
    <w:p w14:paraId="41EDB2E1">
      <w:pPr>
        <w:pStyle w:val="4"/>
        <w:snapToGrid w:val="0"/>
        <w:spacing w:line="360" w:lineRule="auto"/>
        <w:ind w:firstLine="560"/>
        <w:rPr>
          <w:rFonts w:ascii="Times New Roman" w:hAnsi="Times New Roman" w:eastAsia="仿宋_GB2312"/>
          <w:b w:val="0"/>
          <w:sz w:val="28"/>
          <w:szCs w:val="28"/>
        </w:rPr>
      </w:pPr>
      <w:r>
        <w:rPr>
          <w:rFonts w:ascii="Times New Roman" w:hAnsi="Times New Roman" w:eastAsia="仿宋_GB2312"/>
          <w:bCs/>
          <w:sz w:val="28"/>
          <w:szCs w:val="28"/>
        </w:rPr>
        <w:t>加强道路生态廊道建设：</w:t>
      </w:r>
      <w:r>
        <w:rPr>
          <w:rFonts w:ascii="Times New Roman" w:hAnsi="Times New Roman" w:eastAsia="仿宋_GB2312"/>
          <w:b w:val="0"/>
          <w:sz w:val="28"/>
          <w:szCs w:val="28"/>
        </w:rPr>
        <w:t>在道路廊道两侧建设边缘地带、过渡带或生态隔离带，加强防护屏障建设，减少公路运行对周边生态环境及野生动物的扰动，防止野生动物直接穿越交通线路，降低路杀风险。采用园林绿化方式，选择种植具备滞尘降噪、景观美化和道路绿化的树种建造道路生态廊道，通过乔木、灌木、草本植物的有机结合，使道路缓冲带物种更多样化、结构更合理化，促进景观格局优化。</w:t>
      </w:r>
    </w:p>
    <w:p w14:paraId="13D7FAEC">
      <w:pPr>
        <w:keepNext/>
        <w:keepLines/>
        <w:widowControl w:val="0"/>
        <w:adjustRightInd w:val="0"/>
        <w:snapToGrid w:val="0"/>
        <w:spacing w:before="156" w:beforeLines="50" w:after="156" w:afterLines="50" w:line="360" w:lineRule="auto"/>
        <w:jc w:val="both"/>
        <w:outlineLvl w:val="1"/>
        <w:rPr>
          <w:rFonts w:eastAsia="仿宋_GB2312"/>
          <w:b/>
          <w:bCs/>
          <w:kern w:val="2"/>
          <w:sz w:val="28"/>
          <w:szCs w:val="28"/>
        </w:rPr>
      </w:pPr>
      <w:bookmarkStart w:id="68" w:name="_Toc13811"/>
      <w:bookmarkStart w:id="69" w:name="_Toc14016"/>
      <w:r>
        <w:rPr>
          <w:rFonts w:eastAsia="仿宋_GB2312"/>
          <w:b/>
          <w:bCs/>
          <w:kern w:val="2"/>
          <w:sz w:val="28"/>
          <w:szCs w:val="28"/>
        </w:rPr>
        <w:t>4.5 多节点</w:t>
      </w:r>
      <w:bookmarkEnd w:id="68"/>
      <w:bookmarkEnd w:id="69"/>
    </w:p>
    <w:p w14:paraId="0E0B8F58">
      <w:pPr>
        <w:autoSpaceDE w:val="0"/>
        <w:autoSpaceDN w:val="0"/>
        <w:adjustRightInd w:val="0"/>
        <w:spacing w:line="360" w:lineRule="auto"/>
        <w:ind w:firstLine="555"/>
        <w:rPr>
          <w:rFonts w:eastAsia="仿宋_GB2312"/>
          <w:b/>
          <w:sz w:val="28"/>
          <w:szCs w:val="28"/>
        </w:rPr>
      </w:pPr>
      <w:r>
        <w:rPr>
          <w:rFonts w:eastAsia="仿宋_GB2312"/>
          <w:b/>
          <w:sz w:val="28"/>
          <w:szCs w:val="28"/>
        </w:rPr>
        <w:t>1. 区域概况</w:t>
      </w:r>
    </w:p>
    <w:p w14:paraId="6CE47561">
      <w:pPr>
        <w:pStyle w:val="4"/>
        <w:rPr>
          <w:rFonts w:ascii="Times New Roman" w:hAnsi="Times New Roman" w:eastAsia="仿宋_GB2312"/>
          <w:b w:val="0"/>
          <w:bCs/>
          <w:sz w:val="28"/>
          <w:szCs w:val="28"/>
          <w:lang w:bidi="ar"/>
        </w:rPr>
      </w:pPr>
      <w:r>
        <w:rPr>
          <w:rFonts w:ascii="Times New Roman" w:hAnsi="Times New Roman" w:eastAsia="仿宋_GB2312"/>
          <w:b w:val="0"/>
          <w:bCs/>
          <w:sz w:val="28"/>
          <w:szCs w:val="28"/>
          <w:lang w:bidi="ar"/>
        </w:rPr>
        <w:t>“多节点”包括孤山风景区、</w:t>
      </w:r>
      <w:r>
        <w:rPr>
          <w:rFonts w:ascii="Times New Roman" w:hAnsi="Times New Roman" w:eastAsia="仿宋_GB2312"/>
          <w:b w:val="0"/>
          <w:bCs/>
          <w:sz w:val="28"/>
          <w:szCs w:val="28"/>
        </w:rPr>
        <w:t>牧城公园、滨江湿地公园、</w:t>
      </w:r>
      <w:r>
        <w:rPr>
          <w:rFonts w:ascii="Times New Roman" w:hAnsi="Times New Roman" w:eastAsia="仿宋_GB2312"/>
          <w:b w:val="0"/>
          <w:bCs/>
          <w:sz w:val="28"/>
          <w:szCs w:val="28"/>
          <w:lang w:bidi="ar"/>
        </w:rPr>
        <w:t>东阜湖公园、</w:t>
      </w:r>
      <w:r>
        <w:rPr>
          <w:rFonts w:ascii="Times New Roman" w:hAnsi="Times New Roman" w:eastAsia="仿宋_GB2312"/>
          <w:b w:val="0"/>
          <w:bCs/>
          <w:sz w:val="28"/>
          <w:szCs w:val="28"/>
        </w:rPr>
        <w:t>东湖公园</w:t>
      </w:r>
      <w:r>
        <w:rPr>
          <w:rFonts w:ascii="Times New Roman" w:hAnsi="Times New Roman" w:eastAsia="仿宋_GB2312"/>
          <w:b w:val="0"/>
          <w:bCs/>
          <w:sz w:val="28"/>
          <w:szCs w:val="28"/>
          <w:lang w:bidi="ar"/>
        </w:rPr>
        <w:t>、人民公园、马洲公园、长江大桥生态公园、夏仕港公园、孝化湖生态公园、季市公园、海鸿生态园等生态节点。孤山风景区位于靖江市区北面，拥有靖江市为数不多的森林资源。</w:t>
      </w:r>
      <w:r>
        <w:rPr>
          <w:rFonts w:ascii="Times New Roman" w:hAnsi="Times New Roman" w:eastAsia="仿宋_GB2312"/>
          <w:b w:val="0"/>
          <w:bCs/>
          <w:sz w:val="28"/>
          <w:szCs w:val="28"/>
        </w:rPr>
        <w:t>牧城公园包括滨江风景名胜区生态管控区域范围和靖江市明湖应急水源地保护区生态保护红线范围，具有重要的保护价值</w:t>
      </w:r>
      <w:r>
        <w:rPr>
          <w:rFonts w:ascii="Times New Roman" w:hAnsi="Times New Roman" w:eastAsia="仿宋_GB2312"/>
          <w:b w:val="0"/>
          <w:bCs/>
          <w:sz w:val="28"/>
          <w:szCs w:val="28"/>
          <w:lang w:bidi="ar"/>
        </w:rPr>
        <w:t>。夏仕港公园位于夏仕港清水通道维护区，具有生态涵养功能。滨江湿地公园位于靖江市新桥镇境内，涉及长江（靖江市）重要湿地</w:t>
      </w:r>
      <w:r>
        <w:rPr>
          <w:rFonts w:ascii="Times New Roman" w:hAnsi="Times New Roman" w:eastAsia="仿宋_GB2312"/>
          <w:b w:val="0"/>
          <w:bCs/>
          <w:sz w:val="28"/>
          <w:szCs w:val="28"/>
        </w:rPr>
        <w:t>生态管控区域</w:t>
      </w:r>
      <w:r>
        <w:rPr>
          <w:rFonts w:ascii="Times New Roman" w:hAnsi="Times New Roman" w:eastAsia="仿宋_GB2312"/>
          <w:b w:val="0"/>
          <w:bCs/>
          <w:sz w:val="28"/>
          <w:szCs w:val="28"/>
          <w:lang w:bidi="ar"/>
        </w:rPr>
        <w:t>其中的2段岸线，对保护长江湿地生态系统结构和功能完整性具有重要意义。海鸿生态园位于生祠镇金星村，发挥着农业种植、林木扩繁与可持续利用等功能，是农业生态节点。东阜湖公园、东湖公园、长江大桥生态公园、孝化湖生态公园、人民公园、马洲公园、季市公园是靖江市的绿地公园，分布有林地、湿地、绿地等生态系统，是动物迁徙的补给站和踏脚石。</w:t>
      </w:r>
    </w:p>
    <w:p w14:paraId="58CF0BE0">
      <w:pPr>
        <w:numPr>
          <w:ilvl w:val="0"/>
          <w:numId w:val="5"/>
        </w:numPr>
        <w:autoSpaceDE w:val="0"/>
        <w:autoSpaceDN w:val="0"/>
        <w:adjustRightInd w:val="0"/>
        <w:spacing w:line="360" w:lineRule="auto"/>
        <w:ind w:firstLine="555"/>
        <w:rPr>
          <w:rFonts w:eastAsia="仿宋_GB2312"/>
          <w:b/>
          <w:sz w:val="28"/>
          <w:szCs w:val="28"/>
        </w:rPr>
      </w:pPr>
      <w:r>
        <w:rPr>
          <w:rFonts w:eastAsia="仿宋_GB2312"/>
          <w:b/>
          <w:sz w:val="28"/>
          <w:szCs w:val="28"/>
        </w:rPr>
        <w:t>重点保护对象</w:t>
      </w:r>
    </w:p>
    <w:p w14:paraId="223EC650">
      <w:pPr>
        <w:autoSpaceDE w:val="0"/>
        <w:autoSpaceDN w:val="0"/>
        <w:adjustRightInd w:val="0"/>
        <w:spacing w:line="360" w:lineRule="auto"/>
        <w:ind w:firstLine="555"/>
        <w:rPr>
          <w:rFonts w:eastAsia="仿宋_GB2312"/>
          <w:sz w:val="28"/>
          <w:szCs w:val="28"/>
          <w:lang w:bidi="ar"/>
        </w:rPr>
      </w:pPr>
      <w:r>
        <w:rPr>
          <w:rFonts w:eastAsia="仿宋_GB2312"/>
          <w:sz w:val="28"/>
          <w:szCs w:val="28"/>
          <w:lang w:bidi="ar"/>
        </w:rPr>
        <w:t>加强</w:t>
      </w:r>
      <w:r>
        <w:rPr>
          <w:rFonts w:hint="eastAsia" w:eastAsia="仿宋_GB2312"/>
          <w:sz w:val="28"/>
          <w:szCs w:val="28"/>
          <w:lang w:bidi="ar"/>
        </w:rPr>
        <w:t>生态节点</w:t>
      </w:r>
      <w:r>
        <w:rPr>
          <w:rFonts w:eastAsia="仿宋_GB2312"/>
          <w:sz w:val="28"/>
          <w:szCs w:val="28"/>
          <w:lang w:bidi="ar"/>
        </w:rPr>
        <w:t>生态系统保护，全面提高森林、河流、湿地、绿地的生态系统质量。</w:t>
      </w:r>
    </w:p>
    <w:p w14:paraId="43EC0ACA">
      <w:pPr>
        <w:numPr>
          <w:ilvl w:val="0"/>
          <w:numId w:val="5"/>
        </w:numPr>
        <w:autoSpaceDE w:val="0"/>
        <w:autoSpaceDN w:val="0"/>
        <w:adjustRightInd w:val="0"/>
        <w:spacing w:line="360" w:lineRule="auto"/>
        <w:ind w:firstLine="555"/>
        <w:rPr>
          <w:rFonts w:eastAsia="仿宋_GB2312"/>
          <w:b/>
          <w:bCs/>
          <w:sz w:val="28"/>
          <w:szCs w:val="28"/>
          <w:lang w:bidi="ar"/>
        </w:rPr>
      </w:pPr>
      <w:r>
        <w:rPr>
          <w:rFonts w:eastAsia="仿宋_GB2312"/>
          <w:b/>
          <w:bCs/>
          <w:sz w:val="28"/>
          <w:szCs w:val="28"/>
          <w:lang w:bidi="ar"/>
        </w:rPr>
        <w:t>重点项目</w:t>
      </w:r>
    </w:p>
    <w:p w14:paraId="5427B674">
      <w:pPr>
        <w:numPr>
          <w:ilvl w:val="255"/>
          <w:numId w:val="0"/>
        </w:numPr>
        <w:adjustRightInd w:val="0"/>
        <w:spacing w:line="360" w:lineRule="auto"/>
        <w:ind w:firstLine="560" w:firstLineChars="200"/>
        <w:rPr>
          <w:rFonts w:eastAsia="仿宋_GB2312"/>
          <w:sz w:val="28"/>
          <w:szCs w:val="28"/>
          <w:lang w:bidi="ar"/>
        </w:rPr>
      </w:pPr>
      <w:r>
        <w:rPr>
          <w:rFonts w:eastAsia="仿宋_GB2312"/>
          <w:sz w:val="28"/>
          <w:szCs w:val="28"/>
        </w:rPr>
        <w:t>夏仕港生态涵养区建设、城市生态屏障</w:t>
      </w:r>
      <w:r>
        <w:rPr>
          <w:rFonts w:hint="eastAsia" w:eastAsia="仿宋_GB2312"/>
          <w:sz w:val="28"/>
          <w:szCs w:val="28"/>
        </w:rPr>
        <w:t>工程</w:t>
      </w:r>
      <w:r>
        <w:rPr>
          <w:rFonts w:eastAsia="仿宋_GB2312"/>
          <w:sz w:val="28"/>
          <w:szCs w:val="28"/>
        </w:rPr>
        <w:t>、国土绿化工程。</w:t>
      </w:r>
    </w:p>
    <w:p w14:paraId="31B7DB12">
      <w:pPr>
        <w:numPr>
          <w:ilvl w:val="0"/>
          <w:numId w:val="5"/>
        </w:numPr>
        <w:autoSpaceDE w:val="0"/>
        <w:autoSpaceDN w:val="0"/>
        <w:adjustRightInd w:val="0"/>
        <w:spacing w:line="360" w:lineRule="auto"/>
        <w:ind w:firstLine="555"/>
        <w:rPr>
          <w:rFonts w:eastAsia="仿宋_GB2312"/>
          <w:b/>
          <w:bCs/>
          <w:sz w:val="28"/>
          <w:szCs w:val="28"/>
          <w:lang w:bidi="ar"/>
        </w:rPr>
      </w:pPr>
      <w:r>
        <w:rPr>
          <w:rFonts w:eastAsia="仿宋_GB2312"/>
          <w:b/>
          <w:bCs/>
          <w:sz w:val="28"/>
          <w:szCs w:val="28"/>
          <w:lang w:bidi="ar"/>
        </w:rPr>
        <w:t>保护措施</w:t>
      </w:r>
    </w:p>
    <w:p w14:paraId="5C10F2B9">
      <w:pPr>
        <w:spacing w:line="360" w:lineRule="auto"/>
        <w:ind w:firstLine="562" w:firstLineChars="200"/>
        <w:rPr>
          <w:rFonts w:eastAsia="仿宋_GB2312"/>
          <w:sz w:val="28"/>
        </w:rPr>
      </w:pPr>
      <w:r>
        <w:rPr>
          <w:rFonts w:eastAsia="仿宋_GB2312"/>
          <w:b/>
          <w:sz w:val="28"/>
        </w:rPr>
        <w:t>加强生态保护红线和</w:t>
      </w:r>
      <w:r>
        <w:rPr>
          <w:rFonts w:eastAsia="仿宋_GB2312"/>
          <w:b/>
          <w:sz w:val="28"/>
          <w:szCs w:val="28"/>
        </w:rPr>
        <w:t>生态空间管控区域保护：</w:t>
      </w:r>
      <w:r>
        <w:rPr>
          <w:rFonts w:eastAsia="仿宋_GB2312"/>
          <w:sz w:val="28"/>
        </w:rPr>
        <w:t>按照《江苏省国家级生态保护红线规划》和《江苏省生态空间管控区域规划》的分级管理要求实施严格保护，国家级生态保护红线原则上按禁止开发区域的要求进行管理，严禁不符合主体功能定位的各类开发活动，严禁任意改变用途。生态空间管控区域以生态保护为重点，原则上不得开展有损主导生态功能的开发建设活动，不得随意占用和调整生态空间管控区域。</w:t>
      </w:r>
    </w:p>
    <w:p w14:paraId="5FD48D64">
      <w:pPr>
        <w:spacing w:line="360" w:lineRule="auto"/>
        <w:ind w:firstLine="562" w:firstLineChars="200"/>
      </w:pPr>
      <w:r>
        <w:rPr>
          <w:rFonts w:eastAsia="仿宋_GB2312"/>
          <w:b/>
          <w:bCs/>
          <w:sz w:val="28"/>
        </w:rPr>
        <w:t>加强生态节点保护：</w:t>
      </w:r>
      <w:r>
        <w:rPr>
          <w:rFonts w:eastAsia="仿宋_GB2312"/>
          <w:sz w:val="28"/>
        </w:rPr>
        <w:t>以孤山风景区等生态节点</w:t>
      </w:r>
      <w:r>
        <w:rPr>
          <w:rFonts w:eastAsia="仿宋_GB2312"/>
          <w:sz w:val="28"/>
          <w:lang w:val="zh-CN"/>
        </w:rPr>
        <w:t>为区域生态景观体系的“绿核”，加强沿路、沿河绿化带的建设，重点建设社区公园及街头绿地</w:t>
      </w:r>
      <w:r>
        <w:rPr>
          <w:rFonts w:eastAsia="仿宋_GB2312"/>
          <w:sz w:val="28"/>
        </w:rPr>
        <w:t>，为动物迁徙提供踏脚石，不断强化城市生态屏障。对于重要的生态节点，减少人为活动，控制周边生产建设活动发展规模。同时，依托湿地、河湖、农田、林地等优质景观资源，打造景观生态节点，有效维护生态网络结构完整性，改善生态连通性，构建稳定的生态安全网络屏障。</w:t>
      </w:r>
    </w:p>
    <w:p w14:paraId="4A5E8919">
      <w:pPr>
        <w:pStyle w:val="27"/>
        <w:spacing w:line="360" w:lineRule="auto"/>
        <w:ind w:firstLine="560"/>
        <w:rPr>
          <w:rFonts w:ascii="Times New Roman" w:eastAsia="仿宋_GB2312"/>
          <w:sz w:val="28"/>
        </w:rPr>
        <w:sectPr>
          <w:pgSz w:w="11906" w:h="16838"/>
          <w:pgMar w:top="1440" w:right="1800" w:bottom="1440" w:left="1800" w:header="851" w:footer="992" w:gutter="0"/>
          <w:cols w:space="425" w:num="1"/>
          <w:docGrid w:type="lines" w:linePitch="312" w:charSpace="0"/>
        </w:sectPr>
      </w:pPr>
    </w:p>
    <w:p w14:paraId="6A9C3838">
      <w:pPr>
        <w:keepNext/>
        <w:keepLines/>
        <w:widowControl w:val="0"/>
        <w:spacing w:before="100" w:beforeAutospacing="1" w:after="100" w:afterAutospacing="1" w:line="590" w:lineRule="exact"/>
        <w:jc w:val="center"/>
        <w:outlineLvl w:val="0"/>
        <w:rPr>
          <w:rFonts w:eastAsia="仿宋_GB2312"/>
          <w:b/>
          <w:bCs/>
          <w:kern w:val="44"/>
          <w:sz w:val="32"/>
          <w:szCs w:val="44"/>
        </w:rPr>
      </w:pPr>
      <w:bookmarkStart w:id="70" w:name="_Toc17692"/>
      <w:bookmarkStart w:id="71" w:name="_Toc10283"/>
      <w:r>
        <w:rPr>
          <w:rFonts w:eastAsia="仿宋_GB2312"/>
          <w:b/>
          <w:bCs/>
          <w:kern w:val="44"/>
          <w:sz w:val="32"/>
          <w:szCs w:val="44"/>
        </w:rPr>
        <w:t>第五章 主要任务</w:t>
      </w:r>
      <w:bookmarkEnd w:id="70"/>
      <w:bookmarkEnd w:id="71"/>
    </w:p>
    <w:p w14:paraId="32B19B92">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72" w:name="_Toc26252"/>
      <w:bookmarkStart w:id="73" w:name="_Toc19211"/>
      <w:r>
        <w:rPr>
          <w:rFonts w:eastAsia="仿宋_GB2312"/>
          <w:b/>
          <w:bCs/>
          <w:kern w:val="2"/>
          <w:sz w:val="30"/>
          <w:szCs w:val="32"/>
        </w:rPr>
        <w:t>5.1 推动生物多样性主流化</w:t>
      </w:r>
      <w:bookmarkEnd w:id="72"/>
      <w:bookmarkEnd w:id="73"/>
    </w:p>
    <w:p w14:paraId="56652385">
      <w:pPr>
        <w:pStyle w:val="20"/>
        <w:spacing w:after="0"/>
        <w:ind w:left="0" w:leftChars="0" w:firstLine="562"/>
        <w:rPr>
          <w:rFonts w:eastAsia="仿宋_GB2312"/>
          <w:b/>
          <w:bCs/>
          <w:sz w:val="28"/>
          <w:szCs w:val="28"/>
        </w:rPr>
      </w:pPr>
      <w:r>
        <w:rPr>
          <w:rFonts w:eastAsia="仿宋_GB2312"/>
          <w:b/>
          <w:bCs/>
          <w:sz w:val="28"/>
          <w:szCs w:val="28"/>
        </w:rPr>
        <w:t>1. 将生物多样性保护纳入中长期规划</w:t>
      </w:r>
    </w:p>
    <w:p w14:paraId="4D94DF98">
      <w:pPr>
        <w:pStyle w:val="20"/>
        <w:spacing w:after="0"/>
        <w:ind w:left="0" w:leftChars="0" w:firstLine="560"/>
        <w:rPr>
          <w:rFonts w:eastAsia="仿宋_GB2312"/>
          <w:sz w:val="28"/>
          <w:szCs w:val="28"/>
        </w:rPr>
      </w:pPr>
      <w:r>
        <w:rPr>
          <w:rFonts w:eastAsia="仿宋_GB2312"/>
          <w:sz w:val="28"/>
          <w:szCs w:val="28"/>
        </w:rPr>
        <w:t>将生物多样性保护目标指标、主要任务、重点项目等列入新一轮生态文明建设规划和国民经济和社会发展五年规划等。自然资源和规划、生态环境、水利、农业农村等相关部门应将生物多样性保护工作纳入行业发展规划，在进行规划环境影响评价过程中应当充分考虑与生态空间管控区域、生物多样性保护要求的衔接。市委、市政府制定并发布生物多样性保护实施方案，自上而下地形成生物多样性保护合力。</w:t>
      </w:r>
    </w:p>
    <w:p w14:paraId="39833F6F">
      <w:pPr>
        <w:pStyle w:val="20"/>
        <w:spacing w:after="0"/>
        <w:ind w:left="0" w:leftChars="0" w:firstLine="562"/>
        <w:rPr>
          <w:rFonts w:eastAsia="仿宋_GB2312"/>
          <w:b/>
          <w:bCs/>
          <w:sz w:val="28"/>
          <w:szCs w:val="28"/>
        </w:rPr>
      </w:pPr>
      <w:r>
        <w:rPr>
          <w:rFonts w:eastAsia="仿宋_GB2312"/>
          <w:b/>
          <w:bCs/>
          <w:sz w:val="28"/>
          <w:szCs w:val="28"/>
        </w:rPr>
        <w:t>2. 完善生物多样性协同联合机制</w:t>
      </w:r>
    </w:p>
    <w:p w14:paraId="792F30A2">
      <w:pPr>
        <w:adjustRightInd w:val="0"/>
        <w:snapToGrid w:val="0"/>
        <w:spacing w:line="560" w:lineRule="exact"/>
        <w:ind w:firstLine="560" w:firstLineChars="200"/>
        <w:rPr>
          <w:rFonts w:eastAsia="仿宋_GB2312"/>
        </w:rPr>
      </w:pPr>
      <w:r>
        <w:rPr>
          <w:rFonts w:eastAsia="仿宋_GB2312"/>
          <w:sz w:val="28"/>
          <w:szCs w:val="28"/>
        </w:rPr>
        <w:t>建立靖江市生物多样性保护工作机制，统筹协调全市生物多样性保护相关工作，定期召开会议进行生物多样性相关工作的决策商议，部署生物多样性保护重点工作任务和重大项目，推动生物多样性保护与污染防治、碳达峰碳中和、乡村振兴等战略的协同增效。探索推进生物多样性成果共享应用，建成由发改、自然资源和规划、生态环境、住房和城乡建设、水利、农业农村等部门高效协同的共建共享共用机制。</w:t>
      </w:r>
    </w:p>
    <w:p w14:paraId="449CEE98">
      <w:pPr>
        <w:pStyle w:val="20"/>
        <w:spacing w:after="0"/>
        <w:ind w:left="0" w:leftChars="0" w:firstLine="562"/>
        <w:rPr>
          <w:rFonts w:eastAsia="仿宋_GB2312"/>
          <w:b/>
          <w:bCs/>
          <w:sz w:val="28"/>
          <w:szCs w:val="28"/>
        </w:rPr>
      </w:pPr>
      <w:r>
        <w:rPr>
          <w:rFonts w:eastAsia="仿宋_GB2312"/>
          <w:b/>
          <w:bCs/>
          <w:sz w:val="28"/>
          <w:szCs w:val="28"/>
        </w:rPr>
        <w:t>3. 完善生物多样性保护制度</w:t>
      </w:r>
    </w:p>
    <w:p w14:paraId="7D34D4F9">
      <w:pPr>
        <w:adjustRightInd w:val="0"/>
        <w:snapToGrid w:val="0"/>
        <w:spacing w:line="560" w:lineRule="exact"/>
        <w:ind w:firstLine="560" w:firstLineChars="200"/>
        <w:rPr>
          <w:rFonts w:eastAsia="仿宋_GB2312"/>
          <w:sz w:val="28"/>
          <w:szCs w:val="28"/>
        </w:rPr>
      </w:pPr>
      <w:r>
        <w:rPr>
          <w:rFonts w:eastAsia="仿宋_GB2312"/>
          <w:sz w:val="28"/>
          <w:szCs w:val="28"/>
        </w:rPr>
        <w:t>强化生物多样性损害赔偿，按照“应赔尽赔、每案必赔”目标，逐步构建生物多样性损害赔偿长效机制。加大对生态保护红线区域等生态功能重要区域的转移支付力度，规范现有生态保护补偿渠道，完善市场化、多元化生态补偿机制。加快推进野生动物致害补偿办法的制定出台，依法依规开展野生动物致害补偿。全面落实河湖长制，将生物多样性保护纳入河长巡河的任务中，提升河湖生态资源保护能力，全面建设幸福河湖。在长江靖江段实施十年禁渔，开展常态化的联合执法行动，加大非法捕捞执法监管力度，确保打好长江“十年禁渔”持久战。</w:t>
      </w:r>
    </w:p>
    <w:p w14:paraId="0F2C4D7F">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74" w:name="_Toc5574"/>
      <w:bookmarkStart w:id="75" w:name="_Toc31518"/>
      <w:r>
        <w:rPr>
          <w:rFonts w:eastAsia="仿宋_GB2312"/>
          <w:b/>
          <w:bCs/>
          <w:kern w:val="2"/>
          <w:sz w:val="30"/>
          <w:szCs w:val="32"/>
        </w:rPr>
        <w:t>5.2 开展生态系统保护与恢复</w:t>
      </w:r>
      <w:bookmarkEnd w:id="74"/>
      <w:bookmarkEnd w:id="75"/>
    </w:p>
    <w:p w14:paraId="5A12D1CD">
      <w:pPr>
        <w:pStyle w:val="20"/>
        <w:spacing w:after="0"/>
        <w:ind w:left="0" w:leftChars="0" w:firstLine="562"/>
        <w:rPr>
          <w:rFonts w:eastAsia="仿宋_GB2312"/>
          <w:b/>
          <w:bCs/>
          <w:sz w:val="28"/>
          <w:szCs w:val="28"/>
        </w:rPr>
      </w:pPr>
      <w:r>
        <w:rPr>
          <w:rFonts w:eastAsia="仿宋_GB2312"/>
          <w:b/>
          <w:bCs/>
          <w:sz w:val="28"/>
          <w:szCs w:val="28"/>
        </w:rPr>
        <w:t>1. 营造马洲岛高潮位鸟类栖息地</w:t>
      </w:r>
    </w:p>
    <w:p w14:paraId="1543A003">
      <w:pPr>
        <w:pStyle w:val="20"/>
        <w:spacing w:after="0"/>
        <w:ind w:left="0" w:leftChars="0" w:firstLine="560"/>
        <w:rPr>
          <w:rFonts w:eastAsia="仿宋_GB2312"/>
          <w:sz w:val="28"/>
          <w:szCs w:val="28"/>
        </w:rPr>
      </w:pPr>
      <w:r>
        <w:rPr>
          <w:rFonts w:eastAsia="仿宋_GB2312"/>
          <w:sz w:val="28"/>
          <w:szCs w:val="28"/>
        </w:rPr>
        <w:t>在马洲岛西侧湿地规划湿地人工恢复区、湿地自然恢复区和湿地生态保育区三个功能区，营造深水区、浅滩、水上森林、光滩等不同微生境，高标准打造高潮位鸟类栖息地。在湿地人工恢复区，通过刈割过密植被、种植抗逆性好的乡土乔灌木，以及连通潮沟、沟渠水系等方式，优化湿地生态系统结构。在湿地自然恢复区，通过近自然形态设计，形成轻微起伏的深水区、浅滩和生境岛等生境类型，打造多种类型的鸟类栖息地。在湿地生态保育区，以维持区域内自然原貌为主，少量种植芦苇等水生植物。通过实施科学的、积极的和适度的人工干预措施，提升马洲岛湿地生境质量和生物多样性。</w:t>
      </w:r>
    </w:p>
    <w:p w14:paraId="340AC1FB">
      <w:pPr>
        <w:pStyle w:val="20"/>
        <w:spacing w:after="0"/>
        <w:ind w:left="0" w:leftChars="0" w:firstLine="560"/>
        <w:rPr>
          <w:rFonts w:eastAsia="仿宋_GB2312"/>
          <w:sz w:val="28"/>
          <w:szCs w:val="28"/>
        </w:rPr>
      </w:pPr>
      <w:r>
        <w:rPr>
          <w:rFonts w:eastAsia="仿宋_GB2312"/>
          <w:sz w:val="28"/>
          <w:szCs w:val="28"/>
        </w:rPr>
        <w:t>重点项目：马洲岛高潮位鸟类栖息地建设工程</w:t>
      </w:r>
    </w:p>
    <w:p w14:paraId="5832F12F">
      <w:pPr>
        <w:pStyle w:val="20"/>
        <w:numPr>
          <w:ilvl w:val="0"/>
          <w:numId w:val="6"/>
        </w:numPr>
        <w:spacing w:after="0"/>
        <w:ind w:left="0" w:leftChars="0" w:firstLine="555" w:firstLineChars="0"/>
        <w:rPr>
          <w:rFonts w:eastAsia="仿宋_GB2312"/>
          <w:b/>
          <w:bCs/>
          <w:sz w:val="28"/>
          <w:szCs w:val="28"/>
        </w:rPr>
      </w:pPr>
      <w:r>
        <w:rPr>
          <w:rFonts w:eastAsia="仿宋_GB2312"/>
          <w:b/>
          <w:bCs/>
          <w:sz w:val="28"/>
          <w:szCs w:val="28"/>
        </w:rPr>
        <w:t>推进长江沿线山水林田湖草沙一体化保护和修复</w:t>
      </w:r>
    </w:p>
    <w:p w14:paraId="7DC09C8F">
      <w:pPr>
        <w:pStyle w:val="4"/>
        <w:overflowPunct w:val="0"/>
        <w:autoSpaceDE/>
        <w:autoSpaceDN/>
        <w:spacing w:line="560" w:lineRule="exact"/>
        <w:ind w:left="0" w:firstLine="560" w:firstLineChars="200"/>
        <w:rPr>
          <w:rFonts w:ascii="Times New Roman" w:hAnsi="Times New Roman" w:eastAsia="仿宋_GB2312"/>
          <w:b w:val="0"/>
          <w:kern w:val="2"/>
          <w:sz w:val="28"/>
          <w:szCs w:val="28"/>
        </w:rPr>
      </w:pPr>
      <w:r>
        <w:rPr>
          <w:rFonts w:ascii="Times New Roman" w:hAnsi="Times New Roman" w:eastAsia="仿宋_GB2312"/>
          <w:b w:val="0"/>
          <w:kern w:val="2"/>
          <w:sz w:val="28"/>
          <w:szCs w:val="28"/>
        </w:rPr>
        <w:t>重点关注长江沿岸资源的保护修复，加快推进靖江长江沿线山水林田湖草沙一体化保护和修复工程，开展</w:t>
      </w:r>
      <w:r>
        <w:rPr>
          <w:rFonts w:ascii="Times New Roman" w:hAnsi="Times New Roman" w:eastAsia="仿宋_GB2312"/>
          <w:b w:val="0"/>
          <w:bCs/>
          <w:sz w:val="28"/>
          <w:szCs w:val="28"/>
        </w:rPr>
        <w:t>整体保护、系统修复、综合治理。加快</w:t>
      </w:r>
      <w:r>
        <w:rPr>
          <w:rFonts w:ascii="Times New Roman" w:hAnsi="Times New Roman" w:eastAsia="仿宋_GB2312"/>
          <w:b w:val="0"/>
          <w:kern w:val="2"/>
          <w:sz w:val="28"/>
          <w:szCs w:val="28"/>
        </w:rPr>
        <w:t>滨江重要湿地生态建设和修复，积极实施退圩还湿，进一步修复生态功能严重退化的重要湿地，逐步恢复湿地生态功能，维持湿地生态系统健康。强化通江河道岸线生态修复，加强滨河岸线海绵化处理，建设、维护河道两岸的绿植缓冲带和隔离带，构建多梯度的生态缓冲带，维持水源涵养生态空间。推进新桥镇乡村小微湿地保护修复，加强库塘周边水源涵养林和水土保持林建设，恢复小微湿地生物多样性。</w:t>
      </w:r>
    </w:p>
    <w:p w14:paraId="4F245CBA">
      <w:pPr>
        <w:pStyle w:val="4"/>
        <w:overflowPunct w:val="0"/>
        <w:autoSpaceDE/>
        <w:autoSpaceDN/>
        <w:spacing w:line="560" w:lineRule="exact"/>
        <w:ind w:left="0" w:firstLine="560" w:firstLineChars="200"/>
        <w:rPr>
          <w:rFonts w:ascii="Times New Roman" w:hAnsi="Times New Roman" w:eastAsia="仿宋_GB2312"/>
          <w:b w:val="0"/>
          <w:kern w:val="2"/>
          <w:sz w:val="28"/>
          <w:szCs w:val="28"/>
        </w:rPr>
      </w:pPr>
      <w:r>
        <w:rPr>
          <w:rFonts w:ascii="Times New Roman" w:hAnsi="Times New Roman" w:eastAsia="仿宋_GB2312"/>
          <w:b w:val="0"/>
          <w:kern w:val="2"/>
          <w:sz w:val="28"/>
          <w:szCs w:val="28"/>
        </w:rPr>
        <w:t>重点项目：靖江长江沿线山水林田湖草沙一体化保护和修复工程、长江防护生态屏障建设工程、湿地保护修复项目</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54D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737D70E8">
            <w:pPr>
              <w:pStyle w:val="4"/>
              <w:widowControl w:val="0"/>
              <w:overflowPunct w:val="0"/>
              <w:autoSpaceDE/>
              <w:autoSpaceDN/>
              <w:spacing w:line="560" w:lineRule="exact"/>
              <w:ind w:left="0" w:firstLine="0"/>
              <w:jc w:val="center"/>
              <w:rPr>
                <w:rFonts w:ascii="Times New Roman" w:hAnsi="Times New Roman" w:eastAsia="仿宋_GB2312"/>
                <w:bCs/>
                <w:kern w:val="2"/>
                <w:sz w:val="28"/>
                <w:szCs w:val="28"/>
              </w:rPr>
            </w:pPr>
            <w:r>
              <w:rPr>
                <w:rFonts w:ascii="Times New Roman" w:hAnsi="Times New Roman" w:eastAsia="仿宋_GB2312"/>
                <w:bCs/>
                <w:kern w:val="2"/>
                <w:sz w:val="28"/>
                <w:szCs w:val="28"/>
              </w:rPr>
              <w:t>专栏1 长江岸线生态廊道建设</w:t>
            </w:r>
          </w:p>
        </w:tc>
      </w:tr>
      <w:tr w14:paraId="4A80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0652BC7">
            <w:pPr>
              <w:pStyle w:val="4"/>
              <w:widowControl w:val="0"/>
              <w:overflowPunct w:val="0"/>
              <w:autoSpaceDE/>
              <w:autoSpaceDN/>
              <w:spacing w:line="560" w:lineRule="exact"/>
              <w:ind w:left="0" w:firstLine="560" w:firstLineChars="200"/>
              <w:jc w:val="both"/>
              <w:rPr>
                <w:rFonts w:ascii="Times New Roman" w:hAnsi="Times New Roman" w:eastAsia="仿宋_GB2312"/>
                <w:b w:val="0"/>
                <w:kern w:val="2"/>
                <w:sz w:val="28"/>
                <w:szCs w:val="28"/>
              </w:rPr>
            </w:pPr>
            <w:r>
              <w:rPr>
                <w:rFonts w:ascii="Times New Roman" w:hAnsi="Times New Roman" w:eastAsia="仿宋_GB2312"/>
                <w:b w:val="0"/>
                <w:kern w:val="2"/>
                <w:sz w:val="28"/>
                <w:szCs w:val="28"/>
              </w:rPr>
              <w:t>开展长江岸线造林绿化，建立森林护堤带，恢复和增加岸线绿色植被覆盖。提升江堤绿化水平，缺绿补绿，对过于密集的植被进行梳理，恢复江面视线。坚持宜林则林，宜草则草，采取客土整地等措施，选择抗逆性好、具有固氮作用的深根性乡土树（草）种，进行乔、灌、草多层次栽植复绿。</w:t>
            </w:r>
          </w:p>
        </w:tc>
      </w:tr>
    </w:tbl>
    <w:p w14:paraId="4DDF0391">
      <w:pPr>
        <w:pStyle w:val="4"/>
        <w:overflowPunct w:val="0"/>
        <w:autoSpaceDE/>
        <w:autoSpaceDN/>
        <w:spacing w:line="560" w:lineRule="exact"/>
        <w:ind w:left="0" w:firstLine="560" w:firstLineChars="200"/>
        <w:rPr>
          <w:rFonts w:ascii="Times New Roman" w:hAnsi="Times New Roman" w:eastAsia="仿宋_GB2312"/>
          <w:b w:val="0"/>
          <w:kern w:val="2"/>
          <w:sz w:val="28"/>
          <w:szCs w:val="28"/>
        </w:rPr>
      </w:pPr>
    </w:p>
    <w:p w14:paraId="06BEA3FE">
      <w:pPr>
        <w:pStyle w:val="4"/>
        <w:numPr>
          <w:ilvl w:val="0"/>
          <w:numId w:val="6"/>
        </w:numPr>
        <w:overflowPunct w:val="0"/>
        <w:autoSpaceDE/>
        <w:autoSpaceDN/>
        <w:spacing w:line="560" w:lineRule="exact"/>
        <w:ind w:left="0" w:firstLine="555"/>
        <w:rPr>
          <w:rFonts w:ascii="Times New Roman" w:hAnsi="Times New Roman" w:eastAsia="仿宋_GB2312"/>
          <w:bCs/>
          <w:kern w:val="2"/>
          <w:sz w:val="28"/>
          <w:szCs w:val="28"/>
        </w:rPr>
      </w:pPr>
      <w:r>
        <w:rPr>
          <w:rFonts w:ascii="Times New Roman" w:hAnsi="Times New Roman" w:eastAsia="仿宋_GB2312"/>
          <w:bCs/>
          <w:kern w:val="2"/>
          <w:sz w:val="28"/>
          <w:szCs w:val="28"/>
        </w:rPr>
        <w:t>增强乡村农田生态系统保护</w:t>
      </w:r>
    </w:p>
    <w:p w14:paraId="67444FF4">
      <w:pPr>
        <w:pStyle w:val="4"/>
        <w:overflowPunct w:val="0"/>
        <w:autoSpaceDE/>
        <w:autoSpaceDN/>
        <w:spacing w:line="560" w:lineRule="exact"/>
        <w:ind w:left="0" w:firstLine="560" w:firstLineChars="200"/>
        <w:rPr>
          <w:rFonts w:ascii="Times New Roman" w:hAnsi="Times New Roman" w:eastAsia="仿宋_GB2312"/>
          <w:b w:val="0"/>
          <w:kern w:val="2"/>
          <w:sz w:val="28"/>
          <w:szCs w:val="28"/>
        </w:rPr>
      </w:pPr>
      <w:r>
        <w:rPr>
          <w:rFonts w:ascii="Times New Roman" w:hAnsi="Times New Roman" w:eastAsia="仿宋_GB2312"/>
          <w:b w:val="0"/>
          <w:kern w:val="2"/>
          <w:sz w:val="28"/>
          <w:szCs w:val="28"/>
        </w:rPr>
        <w:t>强化永久基本农田保护，保障粮食供给能力。建设高标准农田，发展生态农业、智慧农业，生产培育优质稻麦等绿色优质农产品。开展田间道路和农田林网等工程措施，提升乡村、耕地自然景观水平。以“农牧结合”的形式，利用有机肥部分替代化肥，通过秸秆还田、种植绿肥等土壤改良方式，增加土壤有机质，提升土壤肥力和农田绿色生产能力。恢复和培育土壤微生物群落及土壤动物群落，构建养分健康循环通道，促进农业废物和环境有机分解，提升耕地质量。减少农业面源污染和农村河道富营养化，打造生态渠、设置生态浮床，配置沉水、挺水植物，拦截和吸附排水中颗粒悬浮物及氨磷等，实现农田周边区域水质稳定、水生态系统良性发展的综合效益，打造“清水绿岸、鱼翔浅底”的农村河网水系。</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D87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0C09D61E">
            <w:pPr>
              <w:pStyle w:val="4"/>
              <w:widowControl w:val="0"/>
              <w:overflowPunct w:val="0"/>
              <w:autoSpaceDE/>
              <w:autoSpaceDN/>
              <w:spacing w:line="560" w:lineRule="exact"/>
              <w:jc w:val="center"/>
              <w:rPr>
                <w:rFonts w:ascii="Times New Roman" w:hAnsi="Times New Roman" w:eastAsia="仿宋_GB2312"/>
                <w:bCs/>
                <w:kern w:val="2"/>
                <w:sz w:val="28"/>
                <w:szCs w:val="28"/>
              </w:rPr>
            </w:pPr>
            <w:r>
              <w:rPr>
                <w:rFonts w:ascii="Times New Roman" w:hAnsi="Times New Roman" w:eastAsia="仿宋_GB2312"/>
                <w:bCs/>
                <w:kern w:val="2"/>
                <w:sz w:val="28"/>
                <w:szCs w:val="28"/>
              </w:rPr>
              <w:t>专栏2 乡村国土绿化建设</w:t>
            </w:r>
          </w:p>
        </w:tc>
      </w:tr>
      <w:tr w14:paraId="325B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EEA5033">
            <w:pPr>
              <w:pStyle w:val="4"/>
              <w:widowControl w:val="0"/>
              <w:overflowPunct w:val="0"/>
              <w:autoSpaceDE/>
              <w:autoSpaceDN/>
              <w:spacing w:line="560" w:lineRule="exact"/>
              <w:ind w:left="0" w:firstLine="560" w:firstLineChars="200"/>
              <w:jc w:val="both"/>
              <w:rPr>
                <w:rFonts w:ascii="Times New Roman" w:hAnsi="Times New Roman" w:eastAsia="仿宋_GB2312"/>
                <w:b w:val="0"/>
                <w:kern w:val="2"/>
                <w:sz w:val="28"/>
                <w:szCs w:val="28"/>
              </w:rPr>
            </w:pPr>
            <w:r>
              <w:rPr>
                <w:rFonts w:ascii="Times New Roman" w:hAnsi="Times New Roman" w:eastAsia="仿宋_GB2312"/>
                <w:b w:val="0"/>
                <w:kern w:val="2"/>
                <w:sz w:val="28"/>
                <w:szCs w:val="28"/>
              </w:rPr>
              <w:t>开展大规模国土绿化行动，全面推行林长制，加强森林经营和退化林修复，提升森林质量和生态服务功能。通过绿美村庄、农田林网建设，加大河港绿化和道路绿化力度，开展高质量植树造林，见缝插绿拓展乡村绿化空间，打造立体绿化格局，实现农村“处处皆绿”。充分利用植物不同的习性、形态、色彩，选择银杏、榉树、红枫、樱花、中山杉等适应本地生长、增值空间大的林木，形成以绿色为主，风景别致、色彩丰富的景观效果。</w:t>
            </w:r>
          </w:p>
          <w:p w14:paraId="015C079F">
            <w:pPr>
              <w:pStyle w:val="4"/>
              <w:widowControl w:val="0"/>
              <w:overflowPunct w:val="0"/>
              <w:autoSpaceDE/>
              <w:autoSpaceDN/>
              <w:spacing w:line="560" w:lineRule="exact"/>
              <w:ind w:left="0" w:firstLine="560" w:firstLineChars="200"/>
              <w:jc w:val="both"/>
              <w:rPr>
                <w:rFonts w:ascii="Times New Roman" w:hAnsi="Times New Roman" w:eastAsia="仿宋_GB2312"/>
                <w:b w:val="0"/>
                <w:kern w:val="2"/>
                <w:sz w:val="28"/>
                <w:szCs w:val="28"/>
              </w:rPr>
            </w:pPr>
            <w:r>
              <w:rPr>
                <w:rFonts w:ascii="Times New Roman" w:hAnsi="Times New Roman" w:eastAsia="仿宋_GB2312"/>
                <w:b w:val="0"/>
                <w:kern w:val="2"/>
                <w:sz w:val="28"/>
                <w:szCs w:val="28"/>
              </w:rPr>
              <w:t>引入“小微生态廊道”理念，通过构建乔灌草复层绿化结构，结合沿途生态园、围庄林等设置生物栖息地和生态滞留池等措施，为野生动物提供迁徙通道和栖息地，进一步丰富乡村生态系统的多样性，实现人与自然和谐共生的美好愿景。</w:t>
            </w:r>
          </w:p>
        </w:tc>
      </w:tr>
      <w:tr w14:paraId="40E6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199BE95E">
            <w:pPr>
              <w:pStyle w:val="4"/>
              <w:widowControl w:val="0"/>
              <w:numPr>
                <w:ilvl w:val="255"/>
                <w:numId w:val="0"/>
              </w:numPr>
              <w:overflowPunct w:val="0"/>
              <w:autoSpaceDE/>
              <w:autoSpaceDN/>
              <w:spacing w:line="560" w:lineRule="exact"/>
              <w:jc w:val="center"/>
              <w:rPr>
                <w:rFonts w:ascii="Times New Roman" w:hAnsi="Times New Roman" w:eastAsia="仿宋_GB2312"/>
                <w:bCs/>
                <w:kern w:val="2"/>
                <w:sz w:val="28"/>
                <w:szCs w:val="28"/>
              </w:rPr>
            </w:pPr>
            <w:r>
              <w:rPr>
                <w:rFonts w:ascii="Times New Roman" w:hAnsi="Times New Roman" w:eastAsia="仿宋_GB2312"/>
                <w:bCs/>
                <w:kern w:val="2"/>
                <w:sz w:val="28"/>
                <w:szCs w:val="28"/>
              </w:rPr>
              <w:t>专栏3 增加生态系统碳汇</w:t>
            </w:r>
          </w:p>
        </w:tc>
      </w:tr>
      <w:tr w14:paraId="2C11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C7E6082">
            <w:pPr>
              <w:pStyle w:val="4"/>
              <w:widowControl w:val="0"/>
              <w:numPr>
                <w:ilvl w:val="255"/>
                <w:numId w:val="0"/>
              </w:numPr>
              <w:overflowPunct w:val="0"/>
              <w:autoSpaceDE/>
              <w:autoSpaceDN/>
              <w:spacing w:line="360" w:lineRule="auto"/>
              <w:ind w:firstLine="560" w:firstLineChars="200"/>
              <w:jc w:val="left"/>
              <w:rPr>
                <w:rFonts w:ascii="Times New Roman" w:hAnsi="Times New Roman" w:eastAsia="仿宋_GB2312"/>
                <w:b w:val="0"/>
                <w:kern w:val="2"/>
                <w:sz w:val="28"/>
                <w:szCs w:val="28"/>
              </w:rPr>
            </w:pPr>
            <w:r>
              <w:rPr>
                <w:rFonts w:ascii="Times New Roman" w:hAnsi="Times New Roman" w:eastAsia="仿宋_GB2312"/>
                <w:b w:val="0"/>
                <w:kern w:val="2"/>
                <w:sz w:val="28"/>
                <w:szCs w:val="28"/>
              </w:rPr>
              <w:t>通过大规模国土绿化行动，加强林业建设，稳步增加森林资源总量和质量，增强温室气体吸收能力，实施农业绿色发展行动，加强高捕碳固碳作物种类筛选，实施作物品种替代，研发生物质炭土壤固碳技术，提高土壤有机质含量，增加农田土壤生态系统固碳能力。</w:t>
            </w:r>
          </w:p>
        </w:tc>
      </w:tr>
    </w:tbl>
    <w:p w14:paraId="06986E84">
      <w:pPr>
        <w:pStyle w:val="4"/>
        <w:numPr>
          <w:ilvl w:val="0"/>
          <w:numId w:val="0"/>
        </w:numPr>
        <w:overflowPunct w:val="0"/>
        <w:autoSpaceDE/>
        <w:autoSpaceDN/>
        <w:spacing w:line="560" w:lineRule="exact"/>
        <w:ind w:left="555" w:leftChars="0"/>
        <w:rPr>
          <w:rFonts w:ascii="Times New Roman" w:hAnsi="Times New Roman" w:eastAsia="仿宋_GB2312"/>
          <w:bCs/>
          <w:kern w:val="2"/>
          <w:sz w:val="28"/>
          <w:szCs w:val="28"/>
        </w:rPr>
      </w:pPr>
    </w:p>
    <w:p w14:paraId="007CBC5D">
      <w:pPr>
        <w:pStyle w:val="4"/>
        <w:numPr>
          <w:ilvl w:val="0"/>
          <w:numId w:val="6"/>
        </w:numPr>
        <w:overflowPunct w:val="0"/>
        <w:autoSpaceDE/>
        <w:autoSpaceDN/>
        <w:spacing w:line="560" w:lineRule="exact"/>
        <w:ind w:left="0" w:firstLine="555"/>
        <w:rPr>
          <w:rFonts w:ascii="Times New Roman" w:hAnsi="Times New Roman" w:eastAsia="仿宋_GB2312"/>
          <w:bCs/>
          <w:kern w:val="2"/>
          <w:sz w:val="28"/>
          <w:szCs w:val="28"/>
        </w:rPr>
      </w:pPr>
      <w:r>
        <w:rPr>
          <w:rFonts w:ascii="Times New Roman" w:hAnsi="Times New Roman" w:eastAsia="仿宋_GB2312"/>
          <w:bCs/>
          <w:kern w:val="2"/>
          <w:sz w:val="28"/>
          <w:szCs w:val="28"/>
        </w:rPr>
        <w:t>强化城镇蓝绿空间保护和修复</w:t>
      </w:r>
    </w:p>
    <w:p w14:paraId="50F286F5">
      <w:pPr>
        <w:pStyle w:val="4"/>
        <w:numPr>
          <w:ilvl w:val="255"/>
          <w:numId w:val="0"/>
        </w:numPr>
        <w:overflowPunct w:val="0"/>
        <w:autoSpaceDE/>
        <w:autoSpaceDN/>
        <w:spacing w:line="560" w:lineRule="exact"/>
        <w:ind w:firstLine="560" w:firstLineChars="200"/>
        <w:rPr>
          <w:rFonts w:ascii="Times New Roman" w:hAnsi="Times New Roman" w:eastAsia="仿宋_GB2312"/>
          <w:b w:val="0"/>
          <w:kern w:val="2"/>
          <w:sz w:val="28"/>
          <w:szCs w:val="28"/>
        </w:rPr>
      </w:pPr>
      <w:r>
        <w:rPr>
          <w:rFonts w:ascii="Times New Roman" w:hAnsi="Times New Roman" w:eastAsia="仿宋_GB2312"/>
          <w:b w:val="0"/>
          <w:kern w:val="2"/>
          <w:sz w:val="28"/>
          <w:szCs w:val="28"/>
        </w:rPr>
        <w:t>因地制宜推进美丽河湖保护与建设，推进河湖空间形态修复，实施河湖堤岸生态化建设，拆除或生态化改造阻隔鱼类洄游、影响生态的拦河构筑物，恢复河湖自然生态面貌。结合生态廊道建设和滨河岸带缓冲区建设，构建完整的水生态空间管控体系，加强水系自然连通增加城镇</w:t>
      </w:r>
      <w:r>
        <w:rPr>
          <w:rFonts w:hint="eastAsia" w:ascii="Times New Roman" w:hAnsi="Times New Roman" w:eastAsia="仿宋_GB2312"/>
          <w:b w:val="0"/>
          <w:kern w:val="2"/>
          <w:sz w:val="28"/>
          <w:szCs w:val="28"/>
        </w:rPr>
        <w:t>水系河网</w:t>
      </w:r>
      <w:r>
        <w:rPr>
          <w:rFonts w:ascii="Times New Roman" w:hAnsi="Times New Roman" w:eastAsia="仿宋_GB2312"/>
          <w:b w:val="0"/>
          <w:kern w:val="2"/>
          <w:sz w:val="28"/>
          <w:szCs w:val="28"/>
        </w:rPr>
        <w:t>生态连通性。加强城镇绿化建设，完善城镇道路绿地系统和滨河绿地系统，构建蓝绿交织、清新明亮的城镇生态空间，增加城市生态韧性。结合生态节点布局，通过社区公园、郊野公园、生态庭院、环村林带等建设，扩大城乡绿地面积，完善城镇生态绿楔、绿心、绿网，提升城市绿地功能，优化区域景观生态绿色空间。选择靖江乡土植物，配置丰富的绿化植物群落，增加城镇植物多样性和景观多样性，促进鸟类等野生动物在城镇绿地中的栖息和繁衍。</w:t>
      </w:r>
    </w:p>
    <w:p w14:paraId="4ADBB23F">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76" w:name="_Toc30582"/>
      <w:bookmarkStart w:id="77" w:name="_Toc31669"/>
      <w:r>
        <w:rPr>
          <w:rFonts w:eastAsia="仿宋_GB2312"/>
          <w:b/>
          <w:bCs/>
          <w:kern w:val="2"/>
          <w:sz w:val="30"/>
          <w:szCs w:val="32"/>
        </w:rPr>
        <w:t>5.3 加强重要物种保护</w:t>
      </w:r>
      <w:bookmarkEnd w:id="76"/>
      <w:bookmarkEnd w:id="77"/>
    </w:p>
    <w:p w14:paraId="0132A5E3">
      <w:pPr>
        <w:pStyle w:val="20"/>
        <w:spacing w:after="0"/>
        <w:ind w:left="0" w:leftChars="0" w:firstLine="562"/>
        <w:rPr>
          <w:rFonts w:eastAsia="仿宋_GB2312"/>
          <w:b/>
          <w:bCs/>
          <w:sz w:val="28"/>
          <w:szCs w:val="28"/>
        </w:rPr>
      </w:pPr>
      <w:r>
        <w:rPr>
          <w:rFonts w:eastAsia="仿宋_GB2312"/>
          <w:b/>
          <w:bCs/>
          <w:sz w:val="28"/>
          <w:szCs w:val="28"/>
        </w:rPr>
        <w:t>1. 建立健全就地保护体系</w:t>
      </w:r>
    </w:p>
    <w:p w14:paraId="632BFC0B">
      <w:pPr>
        <w:pStyle w:val="20"/>
        <w:spacing w:after="0"/>
        <w:ind w:left="0" w:leftChars="0" w:firstLine="560"/>
        <w:rPr>
          <w:rFonts w:eastAsia="仿宋_GB2312"/>
          <w:sz w:val="28"/>
          <w:szCs w:val="28"/>
        </w:rPr>
      </w:pPr>
      <w:r>
        <w:rPr>
          <w:rFonts w:eastAsia="仿宋_GB2312"/>
          <w:sz w:val="28"/>
          <w:szCs w:val="28"/>
        </w:rPr>
        <w:t>依托长江靖江段中华绒螯蟹鳜鱼国家级水产种质资源保护区、长江蟛蜞港饮用水水源保护区、靖江市明湖应急水源地水源保护区3处生态保护红线，以及滨江风景名胜区、江心洲重要湿地、夏仕港清水通道维护区、孤山风景名胜区、靖江香沙芋种质资源保护区、长江（靖江市）重要湿地等生态空间管控区域，建立健全生物多样性就地保护体系，完善就地保护基础设施建设，提升管护和巡护能力。依托公园、学校、天然湿地、物种保护小区等认证其他基于区域的有效保护措施（OECMs），加强自然保护地外的生物多样性保护，建立以政府为引导、企业和社区广泛参与的共建式保护，探索开展多种形式的民间就地保护。到2030年，完成罗家港、横港、下六圩港、上六圩港、夹港、上青龙港、焦港、明湖等湿地保护小区建设。</w:t>
      </w:r>
    </w:p>
    <w:p w14:paraId="534AD8C3">
      <w:pPr>
        <w:pStyle w:val="20"/>
        <w:spacing w:after="0"/>
        <w:ind w:left="0" w:leftChars="0" w:firstLine="560"/>
        <w:rPr>
          <w:rFonts w:eastAsia="仿宋_GB2312"/>
          <w:sz w:val="28"/>
          <w:szCs w:val="28"/>
        </w:rPr>
      </w:pPr>
      <w:r>
        <w:rPr>
          <w:rFonts w:eastAsia="仿宋_GB2312"/>
          <w:sz w:val="28"/>
          <w:szCs w:val="28"/>
        </w:rPr>
        <w:t>重点项目：马洲岛物种保护小区建设工程</w:t>
      </w:r>
    </w:p>
    <w:p w14:paraId="44CFF450">
      <w:pPr>
        <w:pStyle w:val="20"/>
        <w:spacing w:after="0"/>
        <w:ind w:left="0" w:leftChars="0" w:firstLine="562"/>
        <w:rPr>
          <w:rFonts w:eastAsia="仿宋_GB2312"/>
          <w:b/>
          <w:bCs/>
          <w:sz w:val="28"/>
          <w:szCs w:val="28"/>
        </w:rPr>
      </w:pPr>
      <w:r>
        <w:rPr>
          <w:rFonts w:eastAsia="仿宋_GB2312"/>
          <w:b/>
          <w:bCs/>
          <w:sz w:val="28"/>
          <w:szCs w:val="28"/>
        </w:rPr>
        <w:t>2. 加强湿地动植物保护</w:t>
      </w:r>
    </w:p>
    <w:p w14:paraId="70FDBEA4">
      <w:pPr>
        <w:pStyle w:val="20"/>
        <w:spacing w:after="0"/>
        <w:ind w:left="0" w:leftChars="0" w:firstLine="560"/>
        <w:rPr>
          <w:rFonts w:eastAsia="仿宋_GB2312"/>
          <w:sz w:val="28"/>
          <w:szCs w:val="28"/>
        </w:rPr>
      </w:pPr>
      <w:r>
        <w:rPr>
          <w:rFonts w:eastAsia="仿宋_GB2312"/>
          <w:sz w:val="28"/>
          <w:szCs w:val="28"/>
        </w:rPr>
        <w:t>恢复湿地植物。在湿地公园、湿地保护小区等区域营造一定宽度的植被缓冲带，配置高低错落、疏密相间的湿生和陆生植物，恢复近自然植被群落。植被群落恢复模式为沉水植被—挺水植被—湿生草甸—灌草地—乔木林。草本植物以芦苇、千屈菜等乡土植物为主；乔灌木以柳树、水杉等为主，并适当增加一些鸟类喜欢的浆果树种。</w:t>
      </w:r>
    </w:p>
    <w:p w14:paraId="6FE9FDB4">
      <w:pPr>
        <w:pStyle w:val="20"/>
        <w:spacing w:after="0"/>
        <w:ind w:left="0" w:leftChars="0" w:firstLine="560"/>
        <w:rPr>
          <w:rFonts w:eastAsia="仿宋_GB2312"/>
          <w:sz w:val="28"/>
          <w:szCs w:val="28"/>
        </w:rPr>
      </w:pPr>
      <w:r>
        <w:rPr>
          <w:rFonts w:eastAsia="仿宋_GB2312"/>
          <w:sz w:val="28"/>
          <w:szCs w:val="28"/>
        </w:rPr>
        <w:t>保护湿地动物及其栖息地。加大生物多样性监督巡查力度，禁止乱捕乱猎，发现捕猎野生动物的行为及时采取措施。根据鸟类、两栖动物、爬行动物、兽类的不同习性，在适宜区域规划潜水塘、生境岛、连片滩岛等景观，在滨岸带配置芦苇、荻、芦竹等湿生植物，提高生物多样性，为动物栖息、繁衍创造有利条件。保护河流水面、坑塘水面，可在河道侧壁设空心砖、凹洞以及在侧壁和水底铺设卵石等改良方式，增加野生动物停歇地和通道。</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5BD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1CA803FA">
            <w:pPr>
              <w:pStyle w:val="20"/>
              <w:widowControl w:val="0"/>
              <w:spacing w:after="0"/>
              <w:ind w:left="0" w:leftChars="0" w:firstLine="0" w:firstLineChars="0"/>
              <w:jc w:val="center"/>
              <w:rPr>
                <w:rFonts w:eastAsia="仿宋_GB2312"/>
                <w:b/>
                <w:bCs/>
                <w:sz w:val="28"/>
                <w:szCs w:val="28"/>
              </w:rPr>
            </w:pPr>
            <w:r>
              <w:rPr>
                <w:rFonts w:eastAsia="仿宋_GB2312"/>
                <w:b/>
                <w:bCs/>
                <w:sz w:val="28"/>
                <w:szCs w:val="28"/>
              </w:rPr>
              <w:t>专栏4 野生动物通道建设</w:t>
            </w:r>
          </w:p>
        </w:tc>
      </w:tr>
      <w:tr w14:paraId="2A65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AD33253">
            <w:pPr>
              <w:pStyle w:val="20"/>
              <w:widowControl w:val="0"/>
              <w:spacing w:after="0"/>
              <w:ind w:left="0" w:leftChars="0" w:firstLine="560"/>
              <w:rPr>
                <w:rFonts w:eastAsia="仿宋_GB2312"/>
                <w:sz w:val="28"/>
                <w:szCs w:val="28"/>
              </w:rPr>
            </w:pPr>
            <w:r>
              <w:rPr>
                <w:rFonts w:eastAsia="仿宋_GB2312"/>
                <w:sz w:val="28"/>
                <w:szCs w:val="28"/>
              </w:rPr>
              <w:t>综合利用野生动物活动轨迹的详细资料，考虑地形、地质、水土保持、工程量、社会经济条件等多方面因素，开展野生动物通道选址研究，设计野生动物通道建设提升方案，科学规划通道的位置、走向、规模、形式、材料等，确保通道能长期发挥作用。</w:t>
            </w:r>
          </w:p>
          <w:p w14:paraId="2026FE9D">
            <w:pPr>
              <w:pStyle w:val="20"/>
              <w:widowControl w:val="0"/>
              <w:spacing w:after="0"/>
              <w:ind w:left="0" w:leftChars="0" w:firstLine="560"/>
              <w:rPr>
                <w:rFonts w:eastAsia="仿宋_GB2312"/>
                <w:sz w:val="28"/>
                <w:szCs w:val="28"/>
              </w:rPr>
            </w:pPr>
            <w:r>
              <w:rPr>
                <w:rFonts w:eastAsia="仿宋_GB2312"/>
                <w:sz w:val="28"/>
                <w:szCs w:val="28"/>
              </w:rPr>
              <w:t>在野生动物通道适宜位置设置植被、水体、地形、微生境等生境诱导，放置果实、倒木、人工巢穴等，吸引野生动物靠近并穿越通道，帮助野生动物尽快适应人工设置的野生动物通道。对于易受惊扰的野生动物，营造隐蔽的环境；对于两栖动物，营造水体生境；根据野生动物对噪音的敏感程度和道路交通量，在临近陆生野生动物通道的道路和桥梁两侧设置土堆、植被带、不透明隔声墙等降噪设施，必要时可设置降噪路面或强制减速带。</w:t>
            </w:r>
          </w:p>
        </w:tc>
      </w:tr>
    </w:tbl>
    <w:p w14:paraId="3E2919AB">
      <w:pPr>
        <w:pStyle w:val="20"/>
        <w:spacing w:after="0"/>
        <w:ind w:left="0" w:leftChars="0" w:firstLine="560"/>
        <w:rPr>
          <w:rFonts w:eastAsia="仿宋_GB2312"/>
          <w:sz w:val="28"/>
          <w:szCs w:val="28"/>
        </w:rPr>
      </w:pPr>
    </w:p>
    <w:p w14:paraId="48F839C3">
      <w:pPr>
        <w:pStyle w:val="20"/>
        <w:spacing w:after="0"/>
        <w:ind w:left="0" w:leftChars="0" w:firstLine="562"/>
        <w:rPr>
          <w:rFonts w:eastAsia="仿宋_GB2312"/>
          <w:b/>
          <w:bCs/>
          <w:sz w:val="28"/>
          <w:szCs w:val="28"/>
        </w:rPr>
      </w:pPr>
      <w:r>
        <w:rPr>
          <w:rFonts w:eastAsia="仿宋_GB2312"/>
          <w:b/>
          <w:bCs/>
          <w:sz w:val="28"/>
          <w:szCs w:val="28"/>
        </w:rPr>
        <w:t>3. 加强水生生物保护</w:t>
      </w:r>
    </w:p>
    <w:p w14:paraId="4704C93C">
      <w:pPr>
        <w:pStyle w:val="20"/>
        <w:spacing w:after="0"/>
        <w:ind w:left="0" w:leftChars="0" w:firstLine="560"/>
        <w:rPr>
          <w:rFonts w:eastAsia="仿宋_GB2312"/>
          <w:sz w:val="28"/>
          <w:szCs w:val="28"/>
        </w:rPr>
      </w:pPr>
      <w:r>
        <w:rPr>
          <w:rFonts w:eastAsia="仿宋_GB2312"/>
          <w:sz w:val="28"/>
          <w:szCs w:val="28"/>
        </w:rPr>
        <w:t>实施以长江江豚为代表的长江珍稀濒危动物抢救性保护，</w:t>
      </w:r>
      <w:r>
        <w:rPr>
          <w:rFonts w:hint="eastAsia" w:eastAsia="仿宋_GB2312"/>
          <w:sz w:val="28"/>
          <w:szCs w:val="28"/>
        </w:rPr>
        <w:t>确保其种群及其栖息地得到有效保护。</w:t>
      </w:r>
      <w:r>
        <w:rPr>
          <w:rFonts w:eastAsia="仿宋_GB2312"/>
          <w:sz w:val="28"/>
          <w:szCs w:val="28"/>
        </w:rPr>
        <w:t>严禁向天然开放水域放流外来物种、人工杂交或者转基因物种，防范外来物种入侵和种质资源污染。</w:t>
      </w:r>
      <w:r>
        <w:rPr>
          <w:rFonts w:hint="eastAsia" w:eastAsia="仿宋_GB2312"/>
          <w:sz w:val="28"/>
          <w:szCs w:val="28"/>
        </w:rPr>
        <w:t>强化</w:t>
      </w:r>
      <w:r>
        <w:rPr>
          <w:rFonts w:eastAsia="仿宋_GB2312"/>
          <w:sz w:val="28"/>
          <w:szCs w:val="28"/>
        </w:rPr>
        <w:t>长江靖江段中华绒螯蟹鳜鱼国家级水产种质资源保护区</w:t>
      </w:r>
      <w:r>
        <w:rPr>
          <w:rFonts w:hint="eastAsia" w:eastAsia="仿宋_GB2312"/>
          <w:sz w:val="28"/>
          <w:szCs w:val="28"/>
        </w:rPr>
        <w:t>管理</w:t>
      </w:r>
      <w:r>
        <w:rPr>
          <w:rFonts w:eastAsia="仿宋_GB2312"/>
          <w:sz w:val="28"/>
          <w:szCs w:val="28"/>
        </w:rPr>
        <w:t>，维护保护区生态修复设施，适当放置人工鱼礁增加鱼类和浮游生物栖息繁殖空间，丰富保护区生物资源。在长江干流支流建设增殖放流区，优化鱼类种群结构，增加长江江豚食物来源</w:t>
      </w:r>
      <w:r>
        <w:rPr>
          <w:rFonts w:hint="eastAsia" w:eastAsia="仿宋_GB2312"/>
          <w:sz w:val="28"/>
          <w:szCs w:val="28"/>
        </w:rPr>
        <w:t>。</w:t>
      </w:r>
      <w:r>
        <w:rPr>
          <w:rFonts w:eastAsia="仿宋_GB2312"/>
          <w:sz w:val="28"/>
          <w:szCs w:val="28"/>
        </w:rPr>
        <w:t>完善增殖放流管理机制，加强放流效果跟踪评估，开展标志放流和跟踪评估技术研究。到2030年，长江江豚种群数量</w:t>
      </w:r>
      <w:r>
        <w:rPr>
          <w:rFonts w:hint="eastAsia" w:eastAsia="仿宋_GB2312"/>
          <w:sz w:val="28"/>
          <w:szCs w:val="28"/>
        </w:rPr>
        <w:t>稳中有升</w:t>
      </w:r>
      <w:r>
        <w:rPr>
          <w:rFonts w:eastAsia="仿宋_GB2312"/>
          <w:sz w:val="28"/>
          <w:szCs w:val="28"/>
        </w:rPr>
        <w:t>，到2035年，长江江豚种群数量显著增加。</w:t>
      </w:r>
    </w:p>
    <w:p w14:paraId="599958A8">
      <w:pPr>
        <w:pStyle w:val="20"/>
        <w:spacing w:after="0"/>
        <w:ind w:left="0" w:leftChars="0" w:firstLine="560"/>
        <w:rPr>
          <w:rFonts w:eastAsia="仿宋_GB2312"/>
          <w:sz w:val="28"/>
          <w:szCs w:val="28"/>
        </w:rPr>
      </w:pPr>
      <w:r>
        <w:rPr>
          <w:rFonts w:eastAsia="仿宋_GB2312"/>
          <w:sz w:val="28"/>
          <w:szCs w:val="28"/>
        </w:rPr>
        <w:t>重点项目：中华绒螯蟹鳜鱼国家级水产种质资源保护工程</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FE3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63D1B240">
            <w:pPr>
              <w:pStyle w:val="20"/>
              <w:widowControl w:val="0"/>
              <w:spacing w:after="0"/>
              <w:ind w:left="0" w:leftChars="0" w:firstLine="0" w:firstLineChars="0"/>
              <w:jc w:val="center"/>
              <w:rPr>
                <w:rFonts w:eastAsia="仿宋_GB2312"/>
                <w:b/>
                <w:bCs/>
                <w:sz w:val="28"/>
                <w:szCs w:val="28"/>
              </w:rPr>
            </w:pPr>
            <w:r>
              <w:rPr>
                <w:rFonts w:eastAsia="仿宋_GB2312"/>
                <w:b/>
                <w:bCs/>
                <w:sz w:val="28"/>
                <w:szCs w:val="28"/>
              </w:rPr>
              <w:t>专栏5 鱼类栖息地生态恢复措施</w:t>
            </w:r>
          </w:p>
        </w:tc>
      </w:tr>
      <w:tr w14:paraId="4C80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EDC76EA">
            <w:pPr>
              <w:pStyle w:val="20"/>
              <w:widowControl w:val="0"/>
              <w:spacing w:after="0"/>
              <w:ind w:left="0" w:leftChars="0" w:firstLine="560"/>
              <w:rPr>
                <w:rFonts w:eastAsia="仿宋_GB2312"/>
                <w:sz w:val="28"/>
                <w:szCs w:val="28"/>
              </w:rPr>
            </w:pPr>
            <w:r>
              <w:rPr>
                <w:rFonts w:eastAsia="仿宋_GB2312"/>
                <w:sz w:val="28"/>
                <w:szCs w:val="28"/>
              </w:rPr>
              <w:t>利用植被培育、生态浮床、人工鱼巢等多项修复措施，重点研究沉粘性卵重要经济鱼类的产卵机制及其环境需求，比较分析不同材料的附着效果，为长江鱼类产卵场的人工修复提供借鉴意义。开展水生生物洄游通道和重要栖息地保护，加大对鳜鱼、中华绒螯蟹、刀鲚、中华鲟、胭脂鱼等珍稀濒危物种产卵场、洄游通道等关键栖息地保护力度。</w:t>
            </w:r>
          </w:p>
        </w:tc>
      </w:tr>
      <w:tr w14:paraId="7CB7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42D4F01D">
            <w:pPr>
              <w:pStyle w:val="20"/>
              <w:widowControl w:val="0"/>
              <w:spacing w:after="0"/>
              <w:ind w:left="0" w:leftChars="0" w:firstLine="0" w:firstLineChars="0"/>
              <w:jc w:val="center"/>
              <w:rPr>
                <w:rFonts w:eastAsia="仿宋_GB2312"/>
                <w:b/>
                <w:bCs/>
                <w:sz w:val="28"/>
                <w:szCs w:val="28"/>
              </w:rPr>
            </w:pPr>
            <w:r>
              <w:rPr>
                <w:rFonts w:eastAsia="仿宋_GB2312"/>
                <w:b/>
                <w:bCs/>
                <w:sz w:val="28"/>
                <w:szCs w:val="28"/>
              </w:rPr>
              <w:t>专栏6 渔业增殖放流</w:t>
            </w:r>
          </w:p>
        </w:tc>
      </w:tr>
      <w:tr w14:paraId="394A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4ABE20F">
            <w:pPr>
              <w:pStyle w:val="20"/>
              <w:widowControl w:val="0"/>
              <w:spacing w:after="0"/>
              <w:ind w:left="0" w:leftChars="0" w:firstLine="560"/>
              <w:rPr>
                <w:rFonts w:eastAsia="仿宋_GB2312"/>
                <w:sz w:val="28"/>
                <w:szCs w:val="28"/>
              </w:rPr>
            </w:pPr>
            <w:r>
              <w:rPr>
                <w:rFonts w:eastAsia="仿宋_GB2312"/>
                <w:sz w:val="28"/>
                <w:szCs w:val="28"/>
              </w:rPr>
              <w:t>科学制定长江干流支流渔业增殖养护实施方案，依据靖江市增殖放流调控模式与区域布局规划，结合历年鱼类增殖放流数据及放流效果评估结论，按照鱼类群落调控、滤食性鱼贝类强化控藻、退养区生态恢复等功能定位，设置各水域适宜放流的品种和数量，科学确定放流鱼类品种，发挥增殖渔业在水生生物保护中的作用。引导和规范社会放生行为，强化水生生物外来入侵物种管理，禁止在水产种质资源保护区水域投放外来种、杂交种、转基因种以及其他不符合生态要求的非本地物种种质资源，切实保护长江水生生物多样性与水域生态环境。</w:t>
            </w:r>
          </w:p>
        </w:tc>
      </w:tr>
    </w:tbl>
    <w:p w14:paraId="455D7B02">
      <w:pPr>
        <w:pStyle w:val="20"/>
        <w:spacing w:after="0"/>
        <w:ind w:left="0" w:leftChars="0" w:firstLine="562"/>
        <w:rPr>
          <w:rFonts w:eastAsia="仿宋_GB2312"/>
          <w:b/>
          <w:bCs/>
          <w:sz w:val="28"/>
          <w:szCs w:val="28"/>
        </w:rPr>
      </w:pPr>
    </w:p>
    <w:p w14:paraId="0978FCD4">
      <w:pPr>
        <w:pStyle w:val="20"/>
        <w:spacing w:after="0"/>
        <w:ind w:left="0" w:leftChars="0" w:firstLine="562"/>
        <w:rPr>
          <w:rFonts w:eastAsia="仿宋_GB2312"/>
          <w:b/>
          <w:bCs/>
          <w:sz w:val="28"/>
          <w:szCs w:val="28"/>
        </w:rPr>
      </w:pPr>
      <w:r>
        <w:rPr>
          <w:rFonts w:eastAsia="仿宋_GB2312"/>
          <w:b/>
          <w:bCs/>
          <w:sz w:val="28"/>
          <w:szCs w:val="28"/>
        </w:rPr>
        <w:t>4. 加强种质遗传资源保护</w:t>
      </w:r>
    </w:p>
    <w:p w14:paraId="57B81C1E">
      <w:pPr>
        <w:pStyle w:val="20"/>
        <w:spacing w:after="0"/>
        <w:ind w:left="0" w:leftChars="0" w:firstLine="560"/>
        <w:rPr>
          <w:rFonts w:eastAsia="仿宋_GB2312"/>
          <w:b/>
          <w:bCs/>
          <w:sz w:val="28"/>
          <w:szCs w:val="28"/>
        </w:rPr>
      </w:pPr>
      <w:r>
        <w:rPr>
          <w:rFonts w:eastAsia="仿宋_GB2312"/>
          <w:sz w:val="28"/>
          <w:szCs w:val="28"/>
        </w:rPr>
        <w:t>按照“以水养鱼、以鱼护江”思路，打造集资源保护、品种创新、繁殖培育、疾病防控、综合种养于一体的长江下游水生生物资源养护研究基地，推进省级滨江水产良种繁育场、东兴渔业生态园建设，保护利用长江长春鳊、中华绒螯蟹、鳜鱼等特色种质资源。发挥“靖江果蔬产业研究院”“亚夫科技服务站”等科研资源作用，突破香沙芋种苗繁育、种质保护关键技术，提升香沙芋良种覆盖率。</w:t>
      </w:r>
    </w:p>
    <w:p w14:paraId="2351AEDF">
      <w:pPr>
        <w:pStyle w:val="20"/>
        <w:spacing w:after="0"/>
        <w:ind w:left="0" w:leftChars="0" w:firstLine="562"/>
        <w:rPr>
          <w:rFonts w:eastAsia="仿宋_GB2312"/>
          <w:b/>
          <w:bCs/>
          <w:sz w:val="28"/>
          <w:szCs w:val="28"/>
        </w:rPr>
      </w:pPr>
      <w:r>
        <w:rPr>
          <w:rFonts w:eastAsia="仿宋_GB2312"/>
          <w:b/>
          <w:bCs/>
          <w:sz w:val="28"/>
          <w:szCs w:val="28"/>
        </w:rPr>
        <w:t>5. 开展古树名木调查与保护</w:t>
      </w:r>
    </w:p>
    <w:p w14:paraId="0EEC9A19">
      <w:pPr>
        <w:pStyle w:val="20"/>
        <w:spacing w:after="0"/>
        <w:ind w:left="0" w:leftChars="0" w:firstLine="560"/>
        <w:rPr>
          <w:rFonts w:eastAsia="仿宋_GB2312"/>
          <w:sz w:val="28"/>
          <w:szCs w:val="28"/>
        </w:rPr>
      </w:pPr>
      <w:r>
        <w:rPr>
          <w:rFonts w:eastAsia="仿宋_GB2312"/>
          <w:sz w:val="28"/>
          <w:szCs w:val="28"/>
        </w:rPr>
        <w:t>根据《江苏省城市古树名木保护管理规定》，结合靖江市古树名木生长实际，修编《靖江市古树名木保护管理办法》，根据城区、乡村、田间、院落等实际情况，细化特殊养护和一般养护标准。建立全市古树名木保护档案，对确认的古树名木进行统一编号，建立完整的文字、影像档案，挂设古树名木保护牌。落实古树名木保护责任制，进一步明确管护责任单位和责任人。定期对古树名木进行“体检”，及时掌握古树名木生长情况，制定濒危古树抢救复壮计划，</w:t>
      </w:r>
      <w:r>
        <w:rPr>
          <w:rFonts w:hint="eastAsia" w:eastAsia="仿宋_GB2312"/>
          <w:sz w:val="28"/>
          <w:szCs w:val="28"/>
        </w:rPr>
        <w:t>实施</w:t>
      </w:r>
      <w:r>
        <w:rPr>
          <w:rFonts w:eastAsia="仿宋_GB2312"/>
          <w:sz w:val="28"/>
          <w:szCs w:val="28"/>
        </w:rPr>
        <w:t>“一树一策”</w:t>
      </w:r>
      <w:r>
        <w:rPr>
          <w:rFonts w:hint="eastAsia" w:eastAsia="仿宋_GB2312"/>
          <w:sz w:val="28"/>
          <w:szCs w:val="28"/>
        </w:rPr>
        <w:t>，</w:t>
      </w:r>
      <w:r>
        <w:rPr>
          <w:rFonts w:eastAsia="仿宋_GB2312"/>
          <w:sz w:val="28"/>
          <w:szCs w:val="28"/>
        </w:rPr>
        <w:t>对长势衰弱的古树名木加强养护和抢救复壮。每5年对古树名木及古树后备资源组织一次资源普查，对新发现的古树名木及古树后备资源进行鉴定确认。</w:t>
      </w:r>
    </w:p>
    <w:p w14:paraId="58B7A51A">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78" w:name="_Toc5877"/>
      <w:bookmarkStart w:id="79" w:name="_Toc9786"/>
      <w:r>
        <w:rPr>
          <w:rFonts w:eastAsia="仿宋_GB2312"/>
          <w:b/>
          <w:bCs/>
          <w:kern w:val="2"/>
          <w:sz w:val="30"/>
          <w:szCs w:val="32"/>
        </w:rPr>
        <w:t>5.4 建立健全生物多样性监测与评估体系</w:t>
      </w:r>
      <w:bookmarkEnd w:id="78"/>
      <w:bookmarkEnd w:id="79"/>
    </w:p>
    <w:p w14:paraId="70DDE67C">
      <w:pPr>
        <w:pStyle w:val="20"/>
        <w:spacing w:after="0"/>
        <w:ind w:left="0" w:leftChars="0" w:firstLine="562"/>
        <w:rPr>
          <w:rFonts w:eastAsia="仿宋_GB2312"/>
          <w:b/>
          <w:bCs/>
          <w:sz w:val="28"/>
          <w:szCs w:val="28"/>
        </w:rPr>
      </w:pPr>
      <w:r>
        <w:rPr>
          <w:rFonts w:eastAsia="仿宋_GB2312"/>
          <w:b/>
          <w:bCs/>
          <w:sz w:val="28"/>
          <w:szCs w:val="28"/>
        </w:rPr>
        <w:t>1. 开展生物多样性本底调查</w:t>
      </w:r>
    </w:p>
    <w:p w14:paraId="2D80F5C0">
      <w:pPr>
        <w:pStyle w:val="20"/>
        <w:spacing w:after="0"/>
        <w:ind w:left="0" w:leftChars="0" w:firstLine="560"/>
        <w:rPr>
          <w:rFonts w:eastAsia="仿宋_GB2312"/>
          <w:sz w:val="28"/>
          <w:szCs w:val="28"/>
        </w:rPr>
      </w:pPr>
      <w:r>
        <w:rPr>
          <w:rFonts w:eastAsia="仿宋_GB2312"/>
          <w:sz w:val="28"/>
          <w:szCs w:val="28"/>
        </w:rPr>
        <w:t>在历史调查工作基础上，以长江重要湿地、长江江豚、珍稀濒危水鸟等</w:t>
      </w:r>
      <w:r>
        <w:rPr>
          <w:rFonts w:hint="eastAsia" w:eastAsia="仿宋_GB2312"/>
          <w:sz w:val="28"/>
          <w:szCs w:val="28"/>
        </w:rPr>
        <w:t>具有长江特色的生物多样性为重点调查对象</w:t>
      </w:r>
      <w:r>
        <w:rPr>
          <w:rFonts w:eastAsia="仿宋_GB2312"/>
          <w:sz w:val="28"/>
          <w:szCs w:val="28"/>
        </w:rPr>
        <w:t>，继续深化生物多样性本底调查，系统掌握靖江市生物多样性本底，尤其是区域珍稀濒危物种、保护物种、外来入侵物种的种类、分布、数量等状况，采集电子标本建立相关物种的名录和编目数据库。开展全市河湖水生态状况摸底调查，掌握鱼类、底栖生物、浮游生物和水生植物状况，明确水生态保护目标及方案。建立“生态环境指示物种清单”，以长江江豚、珍稀濒危水鸟、两栖爬行动物等具有指示意义的生物物种为对象，继续开展生物多样性专项调查。每5年完成一次生物多样性本底调查，每2年完成一次生物多样性专项调查。</w:t>
      </w:r>
    </w:p>
    <w:p w14:paraId="62C90985">
      <w:pPr>
        <w:pStyle w:val="20"/>
        <w:spacing w:after="0"/>
        <w:ind w:left="0" w:leftChars="0" w:firstLine="560"/>
        <w:rPr>
          <w:rFonts w:eastAsia="仿宋_GB2312"/>
          <w:sz w:val="28"/>
          <w:szCs w:val="28"/>
        </w:rPr>
      </w:pPr>
      <w:r>
        <w:rPr>
          <w:rFonts w:eastAsia="仿宋_GB2312"/>
          <w:sz w:val="28"/>
          <w:szCs w:val="28"/>
        </w:rPr>
        <w:t>重点项目：生物多样性调查</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A25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21D08FD3">
            <w:pPr>
              <w:pStyle w:val="20"/>
              <w:widowControl w:val="0"/>
              <w:spacing w:after="0"/>
              <w:ind w:left="0" w:leftChars="0" w:firstLine="0" w:firstLineChars="0"/>
              <w:jc w:val="center"/>
              <w:rPr>
                <w:rFonts w:eastAsia="仿宋_GB2312"/>
                <w:sz w:val="28"/>
                <w:szCs w:val="28"/>
              </w:rPr>
            </w:pPr>
            <w:r>
              <w:rPr>
                <w:rFonts w:eastAsia="仿宋_GB2312"/>
                <w:b/>
                <w:bCs/>
                <w:sz w:val="28"/>
                <w:szCs w:val="28"/>
              </w:rPr>
              <w:t>专栏7 生物多样性调查</w:t>
            </w:r>
          </w:p>
        </w:tc>
      </w:tr>
      <w:tr w14:paraId="7D72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BB8EA4D">
            <w:pPr>
              <w:pStyle w:val="20"/>
              <w:widowControl w:val="0"/>
              <w:spacing w:after="0"/>
              <w:ind w:left="0" w:leftChars="0" w:firstLine="560"/>
              <w:rPr>
                <w:rFonts w:eastAsia="仿宋_GB2312"/>
                <w:sz w:val="28"/>
                <w:szCs w:val="28"/>
              </w:rPr>
            </w:pPr>
            <w:r>
              <w:rPr>
                <w:rFonts w:eastAsia="仿宋_GB2312"/>
                <w:sz w:val="28"/>
                <w:szCs w:val="28"/>
              </w:rPr>
              <w:t>依据《生物多样性观测技术导则》等标准，构建生物多样性调查技术体系，衔接各类生物资源调查工作，按照全域五年一次开展全面的生物多样性本底调查；与历史调查资料比较，分析生物物种资源变化因素，评估主要濒危物种和生态系统的受威胁状况，科学制定生物多样性保护对策建议。</w:t>
            </w:r>
          </w:p>
          <w:p w14:paraId="4C42697F">
            <w:pPr>
              <w:pStyle w:val="20"/>
              <w:widowControl w:val="0"/>
              <w:spacing w:after="0"/>
              <w:ind w:left="0" w:leftChars="0" w:firstLine="560"/>
              <w:rPr>
                <w:rFonts w:eastAsia="仿宋_GB2312"/>
                <w:sz w:val="28"/>
                <w:szCs w:val="28"/>
              </w:rPr>
            </w:pPr>
            <w:r>
              <w:rPr>
                <w:rFonts w:eastAsia="仿宋_GB2312"/>
                <w:sz w:val="28"/>
                <w:szCs w:val="28"/>
              </w:rPr>
              <w:t>在本底调查监测的基础上，参照《江苏省生物多样性红色名录（第一批）》《江苏省生态环境质量指示物种清单（第一批）》等，制定具有靖江特色的指示物种名录，针对指示物种继续开展生物多样性专项调查，摸清靖江市内指示物种的种群规模、分布及变化趋势，反映生态环境质量状况及变化趋势。</w:t>
            </w:r>
          </w:p>
        </w:tc>
      </w:tr>
    </w:tbl>
    <w:p w14:paraId="6C1F677F">
      <w:pPr>
        <w:pStyle w:val="20"/>
        <w:spacing w:after="0"/>
        <w:ind w:left="0" w:leftChars="0" w:firstLine="0" w:firstLineChars="0"/>
        <w:rPr>
          <w:rFonts w:eastAsia="仿宋_GB2312"/>
          <w:sz w:val="28"/>
          <w:szCs w:val="28"/>
        </w:rPr>
      </w:pPr>
    </w:p>
    <w:p w14:paraId="3E3DF111">
      <w:pPr>
        <w:pStyle w:val="20"/>
        <w:spacing w:after="0"/>
        <w:ind w:left="0" w:leftChars="0" w:firstLine="562"/>
        <w:rPr>
          <w:rFonts w:eastAsia="仿宋_GB2312"/>
          <w:b/>
          <w:bCs/>
          <w:sz w:val="28"/>
          <w:szCs w:val="28"/>
        </w:rPr>
      </w:pPr>
      <w:r>
        <w:rPr>
          <w:rFonts w:eastAsia="仿宋_GB2312"/>
          <w:b/>
          <w:bCs/>
          <w:sz w:val="28"/>
          <w:szCs w:val="28"/>
        </w:rPr>
        <w:t>2. 建设生物多样性长期观测站</w:t>
      </w:r>
    </w:p>
    <w:p w14:paraId="62824C73">
      <w:pPr>
        <w:pStyle w:val="20"/>
        <w:spacing w:after="0"/>
        <w:ind w:left="0" w:leftChars="0" w:firstLine="560"/>
        <w:rPr>
          <w:rFonts w:eastAsia="仿宋_GB2312"/>
          <w:sz w:val="28"/>
          <w:szCs w:val="28"/>
        </w:rPr>
      </w:pPr>
      <w:r>
        <w:rPr>
          <w:rFonts w:eastAsia="仿宋_GB2312"/>
          <w:sz w:val="28"/>
          <w:szCs w:val="28"/>
        </w:rPr>
        <w:t>依托现有观测场站，针对生物多样性分布热点区域及重点保护区域，建立完善水陆统筹、天地空一体化的“一站多点”综合性生物多样性长期观测站，包括1个长江生物多样性保护科学观测研究站（马洲岛观测站）和多个生物多样性监测点，对全市生物多样性热点区域和人类活动密集区域进行动态监测，揭示物种分布、迁徙规律以及人类活动对生物多样性的影响。到2025年，完成马洲岛观测站建设。</w:t>
      </w:r>
    </w:p>
    <w:p w14:paraId="6B862247">
      <w:pPr>
        <w:pStyle w:val="20"/>
        <w:spacing w:after="0"/>
        <w:ind w:left="0" w:leftChars="0" w:firstLine="560"/>
        <w:rPr>
          <w:rFonts w:eastAsia="仿宋_GB2312"/>
          <w:sz w:val="28"/>
          <w:szCs w:val="28"/>
        </w:rPr>
      </w:pPr>
      <w:r>
        <w:rPr>
          <w:rFonts w:eastAsia="仿宋_GB2312"/>
          <w:sz w:val="28"/>
          <w:szCs w:val="28"/>
        </w:rPr>
        <w:t>重点项目：马洲岛生物多样性观测站建设</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43D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6CA85C71">
            <w:pPr>
              <w:pStyle w:val="20"/>
              <w:widowControl w:val="0"/>
              <w:spacing w:after="0"/>
              <w:ind w:left="0" w:leftChars="0" w:firstLine="0" w:firstLineChars="0"/>
              <w:jc w:val="center"/>
              <w:rPr>
                <w:rFonts w:eastAsia="仿宋_GB2312"/>
                <w:b/>
                <w:bCs/>
                <w:sz w:val="28"/>
                <w:szCs w:val="28"/>
              </w:rPr>
            </w:pPr>
            <w:r>
              <w:rPr>
                <w:rFonts w:eastAsia="仿宋_GB2312"/>
                <w:b/>
                <w:bCs/>
                <w:sz w:val="28"/>
                <w:szCs w:val="28"/>
              </w:rPr>
              <w:t>专栏8 生物多样性观测体系建设</w:t>
            </w:r>
          </w:p>
        </w:tc>
      </w:tr>
      <w:tr w14:paraId="5219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67A790C">
            <w:pPr>
              <w:pStyle w:val="20"/>
              <w:widowControl w:val="0"/>
              <w:spacing w:after="0" w:line="360" w:lineRule="auto"/>
              <w:ind w:left="0" w:leftChars="0" w:firstLine="560"/>
              <w:rPr>
                <w:rFonts w:eastAsia="仿宋_GB2312"/>
                <w:sz w:val="28"/>
                <w:szCs w:val="28"/>
              </w:rPr>
            </w:pPr>
            <w:r>
              <w:rPr>
                <w:rFonts w:eastAsia="仿宋_GB2312"/>
                <w:sz w:val="28"/>
                <w:szCs w:val="28"/>
              </w:rPr>
              <w:t>依托马洲岛长江生物多样性保护科学观测研究站，建立以马洲岛为核心，辐射长江岸线的“一站六点”生物多样性观测体系。持续开展植物、鸟类、蛙类、蝴蝶等类群的长期固定观测，摸清黄胸鹀、东方白鹳、白头鹤、黑脸琵鹭、野大豆等珍稀濒危物种的种群数量、分布及变化趋势；跟踪监测张靖皋过江通道建设工程对长江洲岛及水生态系统、野生动植物和生态环境的影响。</w:t>
            </w:r>
          </w:p>
        </w:tc>
      </w:tr>
    </w:tbl>
    <w:p w14:paraId="1DB3C991">
      <w:pPr>
        <w:pStyle w:val="20"/>
        <w:spacing w:after="0"/>
        <w:ind w:left="0" w:leftChars="0" w:firstLine="560"/>
        <w:rPr>
          <w:rFonts w:eastAsia="仿宋_GB2312"/>
          <w:sz w:val="28"/>
          <w:szCs w:val="28"/>
        </w:rPr>
      </w:pPr>
    </w:p>
    <w:p w14:paraId="1F643C29">
      <w:pPr>
        <w:pStyle w:val="20"/>
        <w:numPr>
          <w:ilvl w:val="0"/>
          <w:numId w:val="7"/>
        </w:numPr>
        <w:spacing w:after="0"/>
        <w:ind w:left="0" w:leftChars="0" w:firstLine="562"/>
        <w:rPr>
          <w:rFonts w:eastAsia="仿宋_GB2312"/>
          <w:b/>
          <w:bCs/>
          <w:sz w:val="28"/>
          <w:szCs w:val="28"/>
        </w:rPr>
      </w:pPr>
      <w:r>
        <w:rPr>
          <w:rFonts w:eastAsia="仿宋_GB2312"/>
          <w:b/>
          <w:bCs/>
          <w:sz w:val="28"/>
          <w:szCs w:val="28"/>
        </w:rPr>
        <w:t>构建智慧化的生物多样性监测体系</w:t>
      </w:r>
    </w:p>
    <w:p w14:paraId="53B5C1D2">
      <w:pPr>
        <w:pStyle w:val="20"/>
        <w:spacing w:after="0"/>
        <w:ind w:left="0" w:leftChars="0" w:firstLine="560"/>
        <w:rPr>
          <w:rFonts w:eastAsia="仿宋_GB2312"/>
          <w:sz w:val="28"/>
          <w:szCs w:val="28"/>
        </w:rPr>
      </w:pPr>
      <w:r>
        <w:rPr>
          <w:rFonts w:eastAsia="仿宋_GB2312"/>
          <w:sz w:val="28"/>
          <w:szCs w:val="28"/>
        </w:rPr>
        <w:t>应用先进的生物多样性监测技术。运用环境DNA技术、水声学技术，结合人工调查，构建长江江豚立体式监测体系，对长江江豚种群和栖息地动态变化进行长期监测。运用4G红外相机等先进前端数据采集设备开展中小型兽类的持续监测。通过布设高清探头、运用人工智能（AI）识别、卫星遥感和无人机航空遥感等观测前沿技术，完善珍稀水鸟、猛禽、蛙类、蝴蝶等野生生物及其生境监测网络设施建设，形成集数据采集、传输、识别鉴定、应用产出于一体的智慧监测体系。到2025年，建成生物多样性智慧监测体系；到2026年，建成长江江豚立体式监测体系；到2030年，生物多样性智慧监测体系平稳有效运行。</w:t>
      </w:r>
    </w:p>
    <w:p w14:paraId="4F7D9299">
      <w:pPr>
        <w:pStyle w:val="20"/>
        <w:spacing w:after="0"/>
        <w:ind w:left="0" w:leftChars="0" w:firstLine="560"/>
        <w:rPr>
          <w:rFonts w:eastAsia="仿宋_GB2312"/>
          <w:sz w:val="28"/>
          <w:szCs w:val="28"/>
        </w:rPr>
      </w:pPr>
      <w:r>
        <w:rPr>
          <w:rFonts w:eastAsia="仿宋_GB2312"/>
          <w:sz w:val="28"/>
          <w:szCs w:val="28"/>
        </w:rPr>
        <w:t>重点项目：长江江豚立体式监测体系建设、长江防护生态屏障建设工程</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018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0C4BE25D">
            <w:pPr>
              <w:pStyle w:val="20"/>
              <w:widowControl w:val="0"/>
              <w:spacing w:after="0"/>
              <w:ind w:left="0" w:leftChars="0" w:firstLine="0" w:firstLineChars="0"/>
              <w:jc w:val="center"/>
              <w:rPr>
                <w:rFonts w:eastAsia="仿宋_GB2312"/>
                <w:b/>
                <w:bCs/>
                <w:sz w:val="28"/>
                <w:szCs w:val="28"/>
              </w:rPr>
            </w:pPr>
            <w:r>
              <w:rPr>
                <w:rFonts w:eastAsia="仿宋_GB2312"/>
                <w:b/>
                <w:bCs/>
                <w:sz w:val="28"/>
                <w:szCs w:val="28"/>
              </w:rPr>
              <w:t>专栏9 长江江豚监测与保护</w:t>
            </w:r>
          </w:p>
        </w:tc>
      </w:tr>
      <w:tr w14:paraId="1EDE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A8DD053">
            <w:pPr>
              <w:pStyle w:val="20"/>
              <w:widowControl w:val="0"/>
              <w:spacing w:after="0" w:line="360" w:lineRule="auto"/>
              <w:ind w:left="0" w:leftChars="0" w:firstLine="560"/>
              <w:rPr>
                <w:rFonts w:eastAsia="仿宋_GB2312"/>
                <w:sz w:val="28"/>
                <w:szCs w:val="28"/>
              </w:rPr>
            </w:pPr>
            <w:r>
              <w:rPr>
                <w:rFonts w:eastAsia="仿宋_GB2312"/>
                <w:sz w:val="28"/>
                <w:szCs w:val="28"/>
              </w:rPr>
              <w:t>持续开展长江江豚监测与栖息地生态状况评估，在长江江豚活动频繁的地方设置核心区水域，沿江设立长江江豚观测点。结合长江靖江段自然条件和前期建设基础，运用摄像头AI识别观测、水声学方法、环境DNA、人工调查等多种观测方法，建立靖江长江段“水陆统筹”“天空地”一体化的长江江豚立体式观测体系，为掌握长江江豚种群变化趋势及主要栖息地分布及质量状况，开展长江江豚保护提供技术支撑。</w:t>
            </w:r>
          </w:p>
          <w:p w14:paraId="4E9E1722">
            <w:pPr>
              <w:pStyle w:val="20"/>
              <w:widowControl w:val="0"/>
              <w:spacing w:after="0" w:line="360" w:lineRule="auto"/>
              <w:ind w:left="0" w:leftChars="0" w:firstLine="560"/>
              <w:rPr>
                <w:rFonts w:eastAsia="仿宋_GB2312"/>
                <w:sz w:val="28"/>
                <w:szCs w:val="28"/>
              </w:rPr>
            </w:pPr>
            <w:r>
              <w:rPr>
                <w:rFonts w:eastAsia="仿宋_GB2312"/>
                <w:sz w:val="28"/>
                <w:szCs w:val="28"/>
              </w:rPr>
              <w:t>加强靖江市长江江豚及其栖息地保护。依托监测调查结果，明确长江江豚种群集中分布区和重要栖息地，制定相应保护计划和措施，加强长江江豚及其栖息地保护，积极开展执法巡护和科普宣传等各项工作。</w:t>
            </w:r>
          </w:p>
        </w:tc>
      </w:tr>
    </w:tbl>
    <w:p w14:paraId="5D5F86EB">
      <w:pPr>
        <w:pStyle w:val="20"/>
        <w:spacing w:after="0"/>
        <w:ind w:left="0" w:leftChars="0" w:firstLine="562"/>
        <w:rPr>
          <w:rFonts w:eastAsia="仿宋_GB2312"/>
          <w:b/>
          <w:bCs/>
          <w:sz w:val="28"/>
          <w:szCs w:val="28"/>
        </w:rPr>
      </w:pPr>
    </w:p>
    <w:p w14:paraId="06AC1D12">
      <w:pPr>
        <w:pStyle w:val="20"/>
        <w:spacing w:after="0"/>
        <w:ind w:left="0" w:leftChars="0" w:firstLine="562"/>
        <w:rPr>
          <w:rFonts w:eastAsia="仿宋_GB2312"/>
          <w:b/>
          <w:bCs/>
          <w:sz w:val="28"/>
          <w:szCs w:val="28"/>
        </w:rPr>
      </w:pPr>
      <w:r>
        <w:rPr>
          <w:rFonts w:eastAsia="仿宋_GB2312"/>
          <w:b/>
          <w:bCs/>
          <w:sz w:val="28"/>
          <w:szCs w:val="28"/>
        </w:rPr>
        <w:t>4. 健全生物多样性评估体系</w:t>
      </w:r>
    </w:p>
    <w:p w14:paraId="75DA35D5">
      <w:pPr>
        <w:pStyle w:val="20"/>
        <w:spacing w:after="0"/>
        <w:ind w:left="0" w:leftChars="0" w:firstLine="560"/>
        <w:rPr>
          <w:rFonts w:eastAsia="仿宋_GB2312"/>
          <w:sz w:val="28"/>
          <w:szCs w:val="28"/>
        </w:rPr>
      </w:pPr>
      <w:r>
        <w:rPr>
          <w:rFonts w:eastAsia="仿宋_GB2312"/>
          <w:sz w:val="28"/>
          <w:szCs w:val="28"/>
        </w:rPr>
        <w:t>结合调查监测结果，创新基于声纹、AI识别等监测技术的生物多样性指标计算方法，建立涵盖生物多样性本底状况、生物多样性保护恢复成效、生态环境质量、生态系统服务功能、生态胁迫等的评估指标体系，针对指示物种、珍稀濒危物种、特有物种、重要资源植物、生态系统、自然保护地、外来物种入侵程度及植被受破坏程度等进行评价。严格执行环境影响评价制度，开展工程建设、资源开发利用、生物技术应用、环境污染等对生物多样性影响评价，对重点生态修复工程成效进行评估，引导高质量的生态修复。每5年完成一次生物多样性综合评估。</w:t>
      </w:r>
    </w:p>
    <w:p w14:paraId="7146840C">
      <w:pPr>
        <w:keepNext/>
        <w:keepLines/>
        <w:widowControl w:val="0"/>
        <w:adjustRightInd w:val="0"/>
        <w:snapToGrid w:val="0"/>
        <w:spacing w:before="100" w:beforeAutospacing="1" w:after="100" w:afterAutospacing="1" w:line="360" w:lineRule="auto"/>
        <w:jc w:val="both"/>
        <w:outlineLvl w:val="1"/>
        <w:rPr>
          <w:rFonts w:eastAsia="仿宋_GB2312"/>
          <w:b/>
          <w:bCs/>
          <w:color w:val="8CC8D3"/>
          <w:kern w:val="2"/>
          <w:sz w:val="30"/>
          <w:szCs w:val="32"/>
        </w:rPr>
      </w:pPr>
      <w:bookmarkStart w:id="80" w:name="_Toc16317"/>
      <w:bookmarkStart w:id="81" w:name="_Toc30902"/>
      <w:r>
        <w:rPr>
          <w:rFonts w:eastAsia="仿宋_GB2312"/>
          <w:b/>
          <w:bCs/>
          <w:kern w:val="2"/>
          <w:sz w:val="30"/>
          <w:szCs w:val="32"/>
        </w:rPr>
        <w:t>5.5 提升生物多样性安全管理水平</w:t>
      </w:r>
      <w:bookmarkEnd w:id="80"/>
      <w:bookmarkEnd w:id="81"/>
    </w:p>
    <w:p w14:paraId="14923F0A">
      <w:pPr>
        <w:pStyle w:val="20"/>
        <w:spacing w:after="0"/>
        <w:ind w:left="0" w:leftChars="0" w:firstLine="562"/>
        <w:rPr>
          <w:rFonts w:eastAsia="仿宋_GB2312"/>
          <w:b/>
          <w:bCs/>
          <w:sz w:val="28"/>
          <w:szCs w:val="28"/>
        </w:rPr>
      </w:pPr>
      <w:bookmarkStart w:id="82" w:name="_Toc121475005"/>
      <w:bookmarkStart w:id="83" w:name="_Toc121391030"/>
      <w:bookmarkStart w:id="84" w:name="_Toc121474627"/>
      <w:r>
        <w:rPr>
          <w:rFonts w:eastAsia="仿宋_GB2312"/>
          <w:b/>
          <w:bCs/>
          <w:sz w:val="28"/>
          <w:szCs w:val="28"/>
        </w:rPr>
        <w:t>1. 加强外来入侵物种普查</w:t>
      </w:r>
    </w:p>
    <w:p w14:paraId="168B4D15">
      <w:pPr>
        <w:pStyle w:val="20"/>
        <w:spacing w:after="0"/>
        <w:ind w:left="0" w:leftChars="0" w:firstLine="560"/>
        <w:rPr>
          <w:rFonts w:eastAsia="仿宋_GB2312"/>
          <w:sz w:val="28"/>
          <w:szCs w:val="28"/>
        </w:rPr>
      </w:pPr>
      <w:r>
        <w:rPr>
          <w:rFonts w:eastAsia="仿宋_GB2312"/>
          <w:sz w:val="28"/>
          <w:szCs w:val="28"/>
        </w:rPr>
        <w:t>根据《进一步加强外来物种入侵防控工作方案》和《江苏省外来入侵物种普查工作方案》，在农田、渔业水域、林地、湿地等重点区域开展外来入侵物种普查与评估，摸清外来入侵物种的种类数量、分布范围、危害程度及入侵途径、传播规律等情况，持续完善《靖江市外来入侵物种名录》，并建立外来入侵物种数据库。</w:t>
      </w:r>
    </w:p>
    <w:p w14:paraId="226F8306">
      <w:pPr>
        <w:pStyle w:val="20"/>
        <w:spacing w:after="0"/>
        <w:ind w:left="0" w:leftChars="0" w:firstLine="560"/>
        <w:rPr>
          <w:rFonts w:eastAsia="仿宋_GB2312"/>
          <w:sz w:val="28"/>
          <w:szCs w:val="28"/>
        </w:rPr>
      </w:pPr>
      <w:r>
        <w:rPr>
          <w:rFonts w:eastAsia="仿宋_GB2312"/>
          <w:sz w:val="28"/>
          <w:szCs w:val="28"/>
        </w:rPr>
        <w:t>重点项目：外来入侵物种调查、监测和预警</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9D0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shd w:val="clear" w:color="auto" w:fill="8CC8D3"/>
          </w:tcPr>
          <w:p w14:paraId="1BF0E510">
            <w:pPr>
              <w:pStyle w:val="20"/>
              <w:widowControl w:val="0"/>
              <w:spacing w:after="0"/>
              <w:ind w:left="0" w:leftChars="0" w:firstLine="0" w:firstLineChars="0"/>
              <w:jc w:val="center"/>
              <w:rPr>
                <w:rFonts w:eastAsia="仿宋_GB2312"/>
                <w:b/>
                <w:bCs/>
                <w:sz w:val="28"/>
                <w:szCs w:val="28"/>
              </w:rPr>
            </w:pPr>
            <w:r>
              <w:rPr>
                <w:rFonts w:eastAsia="仿宋_GB2312"/>
                <w:b/>
                <w:bCs/>
                <w:sz w:val="28"/>
                <w:szCs w:val="28"/>
              </w:rPr>
              <w:t>专栏10 外来入侵物种数据库建设</w:t>
            </w:r>
          </w:p>
        </w:tc>
      </w:tr>
      <w:tr w14:paraId="4DA0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107065C">
            <w:pPr>
              <w:pStyle w:val="20"/>
              <w:widowControl w:val="0"/>
              <w:spacing w:after="0" w:line="360" w:lineRule="auto"/>
              <w:ind w:left="0" w:leftChars="0" w:firstLine="560"/>
              <w:rPr>
                <w:rFonts w:eastAsia="仿宋_GB2312"/>
                <w:sz w:val="28"/>
                <w:szCs w:val="28"/>
              </w:rPr>
            </w:pPr>
            <w:r>
              <w:rPr>
                <w:rFonts w:eastAsia="仿宋_GB2312"/>
                <w:sz w:val="28"/>
                <w:szCs w:val="28"/>
              </w:rPr>
              <w:t>在全市范围开展外来入侵物种普查，建立外来入侵物种数据库。通过文献调研和野外调查相结合的方式，收集外来入侵生物的信息，包括外来入侵生物的分类地位、形态性状、分布范围、生态和经济影响、首次发现或引入的地点及时间、起源、入侵途径、生境类型、生活史、营养和环境条件、可能扩散的区域、防治措施等。</w:t>
            </w:r>
          </w:p>
        </w:tc>
      </w:tr>
    </w:tbl>
    <w:p w14:paraId="2C352803">
      <w:pPr>
        <w:pStyle w:val="20"/>
        <w:spacing w:after="0"/>
        <w:ind w:left="0" w:leftChars="0" w:firstLine="0" w:firstLineChars="0"/>
        <w:rPr>
          <w:rFonts w:eastAsia="仿宋_GB2312"/>
          <w:sz w:val="28"/>
          <w:szCs w:val="28"/>
        </w:rPr>
      </w:pPr>
    </w:p>
    <w:p w14:paraId="47611B68">
      <w:pPr>
        <w:pStyle w:val="20"/>
        <w:spacing w:after="0"/>
        <w:ind w:left="0" w:leftChars="0" w:firstLine="562"/>
        <w:rPr>
          <w:rFonts w:eastAsia="仿宋_GB2312"/>
          <w:b/>
          <w:bCs/>
          <w:sz w:val="28"/>
          <w:szCs w:val="28"/>
        </w:rPr>
      </w:pPr>
      <w:r>
        <w:rPr>
          <w:rFonts w:eastAsia="仿宋_GB2312"/>
          <w:b/>
          <w:bCs/>
          <w:sz w:val="28"/>
          <w:szCs w:val="28"/>
        </w:rPr>
        <w:t>2. 完善入侵物种监测和预警</w:t>
      </w:r>
    </w:p>
    <w:bookmarkEnd w:id="82"/>
    <w:bookmarkEnd w:id="83"/>
    <w:bookmarkEnd w:id="84"/>
    <w:p w14:paraId="3A4BE88E">
      <w:pPr>
        <w:pStyle w:val="20"/>
        <w:spacing w:after="0"/>
        <w:ind w:left="0" w:leftChars="0" w:firstLine="560"/>
        <w:rPr>
          <w:rFonts w:eastAsia="仿宋_GB2312"/>
          <w:sz w:val="28"/>
          <w:szCs w:val="28"/>
        </w:rPr>
      </w:pPr>
      <w:r>
        <w:rPr>
          <w:rFonts w:eastAsia="仿宋_GB2312"/>
          <w:sz w:val="28"/>
          <w:szCs w:val="28"/>
        </w:rPr>
        <w:t>建立健全生物技术环境安全评估与监管技术支撑体系。充分整合现有的监测基础，合理布局监测站点，开展定点的环境风险监测与生态影响评价。充分运用“互联网+GIS+高智能监测基站+航拍无人机”等智慧化、专业化监测手段建立完善有害生物全方位监测网络体系，实施常态化监管，做到早发现、早预警和早应对。加强对自然保护地、靖江香沙芋种质资源保护区、长江靖江段中华绒螯蟹鳜鱼国家级水产种质资源保护区等重点区域外来入侵防控工作监督，建立外来物种风险评价和管理机制，根据风险级别分类管理。逐步建立外来入侵物种监测系统和鉴定、预警制度。</w:t>
      </w:r>
    </w:p>
    <w:p w14:paraId="3A5381CF">
      <w:pPr>
        <w:pStyle w:val="20"/>
        <w:spacing w:after="0"/>
        <w:ind w:left="0" w:leftChars="0" w:firstLine="560"/>
        <w:rPr>
          <w:rFonts w:eastAsia="仿宋_GB2312"/>
          <w:sz w:val="28"/>
          <w:szCs w:val="28"/>
        </w:rPr>
      </w:pPr>
      <w:r>
        <w:rPr>
          <w:rFonts w:eastAsia="仿宋_GB2312"/>
          <w:sz w:val="28"/>
          <w:szCs w:val="28"/>
        </w:rPr>
        <w:t>重点项目：外来入侵物种调查、监测和预警</w:t>
      </w:r>
    </w:p>
    <w:p w14:paraId="45CF0E81">
      <w:pPr>
        <w:pStyle w:val="20"/>
        <w:spacing w:after="0"/>
        <w:ind w:left="0" w:leftChars="0" w:firstLine="562"/>
        <w:rPr>
          <w:rFonts w:eastAsia="仿宋_GB2312"/>
          <w:b/>
          <w:bCs/>
          <w:sz w:val="28"/>
          <w:szCs w:val="28"/>
        </w:rPr>
      </w:pPr>
      <w:r>
        <w:rPr>
          <w:rFonts w:eastAsia="仿宋_GB2312"/>
          <w:b/>
          <w:bCs/>
          <w:sz w:val="28"/>
          <w:szCs w:val="28"/>
        </w:rPr>
        <w:t>3. 强化外来入侵物种排查清理</w:t>
      </w:r>
    </w:p>
    <w:p w14:paraId="041F50F9">
      <w:pPr>
        <w:pStyle w:val="20"/>
        <w:spacing w:after="0"/>
        <w:ind w:left="0" w:leftChars="0" w:firstLine="560"/>
        <w:rPr>
          <w:rFonts w:eastAsia="仿宋_GB2312"/>
          <w:sz w:val="28"/>
          <w:szCs w:val="28"/>
        </w:rPr>
      </w:pPr>
      <w:r>
        <w:rPr>
          <w:rFonts w:eastAsia="仿宋_GB2312"/>
          <w:sz w:val="28"/>
          <w:szCs w:val="28"/>
        </w:rPr>
        <w:t>实施以生物防治措施为主的有害物种防治工程。在全面摸清加拿大一枝黄花、福寿螺、巴西红耳龟、水葫芦、空心莲子草等外来物种数量、发生规模、易发区域分布以及危害程度，严格按照有关技术操作规程，及时开展有效措施进行治理。强化引入物种检疫管理，严格规范外来物种引入和释放。开展农作物种子、水生动植物专项检疫检查，开展农业植物检疫性有害生物调查，有效控制农业检疫性病、虫、杂草、水生动植物等扩散。</w:t>
      </w:r>
    </w:p>
    <w:p w14:paraId="06F3E994">
      <w:pPr>
        <w:pStyle w:val="20"/>
        <w:spacing w:after="0"/>
        <w:ind w:left="0" w:leftChars="0" w:firstLine="562"/>
        <w:rPr>
          <w:rFonts w:eastAsia="仿宋_GB2312"/>
          <w:b/>
          <w:bCs/>
          <w:sz w:val="28"/>
          <w:szCs w:val="28"/>
        </w:rPr>
      </w:pPr>
      <w:bookmarkStart w:id="85" w:name="_Toc121474628"/>
      <w:bookmarkStart w:id="86" w:name="_Toc121391031"/>
      <w:bookmarkStart w:id="87" w:name="_Toc121475006"/>
      <w:r>
        <w:rPr>
          <w:rFonts w:eastAsia="仿宋_GB2312"/>
          <w:b/>
          <w:bCs/>
          <w:sz w:val="28"/>
          <w:szCs w:val="28"/>
        </w:rPr>
        <w:t>4．提升外来入侵物种防控能力</w:t>
      </w:r>
      <w:bookmarkEnd w:id="85"/>
      <w:bookmarkEnd w:id="86"/>
      <w:bookmarkEnd w:id="87"/>
    </w:p>
    <w:p w14:paraId="2A4679A7">
      <w:pPr>
        <w:pStyle w:val="20"/>
        <w:spacing w:after="0"/>
        <w:ind w:left="0" w:leftChars="0" w:firstLine="560"/>
        <w:rPr>
          <w:rFonts w:eastAsia="仿宋_GB2312"/>
          <w:sz w:val="28"/>
          <w:szCs w:val="28"/>
        </w:rPr>
      </w:pPr>
      <w:r>
        <w:rPr>
          <w:rFonts w:eastAsia="仿宋_GB2312"/>
          <w:sz w:val="28"/>
          <w:szCs w:val="28"/>
        </w:rPr>
        <w:t>加强有害生物监测队伍建设，规范监测机构与人员队伍管理，加强技术培训和经费保障，提高基层普查人员识别能力与防控水平。强化监测数据质量控制，建立普查数据质量溯源制度，规范相关数据的采集、整理、复核、报送、归档等程序，提高测报工作的准确率，确保数据的准确性。完善监测信息报告系统，建立生物安全培训、跟踪检查、定期报告等制度，制定生物安全风险防控计划和生物安全事件应急预案，有效应对生物安全重大风险。利用互联网、移动终端、广播电视等各种媒介，加强外来物种入侵防控科普宣传。</w:t>
      </w:r>
    </w:p>
    <w:p w14:paraId="46554DD9">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88" w:name="_Toc18006"/>
      <w:bookmarkStart w:id="89" w:name="_Toc28856"/>
      <w:r>
        <w:rPr>
          <w:rFonts w:eastAsia="仿宋_GB2312"/>
          <w:b/>
          <w:bCs/>
          <w:kern w:val="2"/>
          <w:sz w:val="30"/>
          <w:szCs w:val="32"/>
        </w:rPr>
        <w:t>5.6 提升生物多样性可持续利用水平</w:t>
      </w:r>
      <w:bookmarkEnd w:id="88"/>
      <w:bookmarkEnd w:id="89"/>
    </w:p>
    <w:p w14:paraId="4A10E215">
      <w:pPr>
        <w:pStyle w:val="20"/>
        <w:spacing w:after="0"/>
        <w:ind w:left="0" w:leftChars="0" w:firstLine="562"/>
        <w:rPr>
          <w:rFonts w:eastAsia="仿宋_GB2312"/>
          <w:b/>
          <w:bCs/>
          <w:sz w:val="28"/>
          <w:szCs w:val="28"/>
        </w:rPr>
      </w:pPr>
      <w:bookmarkStart w:id="90" w:name="_Toc121475008"/>
      <w:bookmarkStart w:id="91" w:name="_Toc121474630"/>
      <w:bookmarkStart w:id="92" w:name="_Toc121391033"/>
      <w:r>
        <w:rPr>
          <w:rFonts w:eastAsia="仿宋_GB2312"/>
          <w:b/>
          <w:bCs/>
          <w:sz w:val="28"/>
          <w:szCs w:val="28"/>
        </w:rPr>
        <w:t>1</w:t>
      </w:r>
      <w:bookmarkEnd w:id="90"/>
      <w:bookmarkEnd w:id="91"/>
      <w:bookmarkEnd w:id="92"/>
      <w:r>
        <w:rPr>
          <w:rFonts w:eastAsia="仿宋_GB2312"/>
          <w:b/>
          <w:bCs/>
          <w:sz w:val="28"/>
          <w:szCs w:val="28"/>
        </w:rPr>
        <w:t>. 加强生物资源开发和可持续利用研究</w:t>
      </w:r>
    </w:p>
    <w:p w14:paraId="3034CBAE">
      <w:pPr>
        <w:pStyle w:val="20"/>
        <w:spacing w:after="0"/>
        <w:ind w:left="0" w:leftChars="0" w:firstLine="560"/>
        <w:rPr>
          <w:rFonts w:eastAsia="仿宋_GB2312"/>
          <w:sz w:val="28"/>
          <w:szCs w:val="28"/>
          <w:highlight w:val="yellow"/>
        </w:rPr>
      </w:pPr>
      <w:r>
        <w:rPr>
          <w:rFonts w:hint="eastAsia" w:eastAsia="仿宋_GB2312"/>
          <w:sz w:val="28"/>
          <w:szCs w:val="28"/>
        </w:rPr>
        <w:t>加强农业资源开发和可持续利用，</w:t>
      </w:r>
      <w:r>
        <w:rPr>
          <w:rFonts w:eastAsia="仿宋_GB2312"/>
          <w:sz w:val="28"/>
          <w:szCs w:val="28"/>
        </w:rPr>
        <w:t>研发优质</w:t>
      </w:r>
      <w:r>
        <w:rPr>
          <w:rFonts w:hint="eastAsia" w:eastAsia="仿宋_GB2312"/>
          <w:sz w:val="28"/>
          <w:szCs w:val="28"/>
        </w:rPr>
        <w:t>稻麦品种</w:t>
      </w:r>
      <w:r>
        <w:rPr>
          <w:rFonts w:eastAsia="仿宋_GB2312"/>
          <w:sz w:val="28"/>
          <w:szCs w:val="28"/>
        </w:rPr>
        <w:t>，加大主推品种覆盖率、关键技术到位率，通过改良稻麦品种和耕种技术，提升粮油作物单产。加快香沙芋科技集成示范基地、芋博园等项目建设，示范推广香沙芋生产全程机械化技术，强化香沙芋产业的科技示范与辐射带动能力。</w:t>
      </w:r>
      <w:r>
        <w:rPr>
          <w:rFonts w:hint="eastAsia" w:eastAsia="仿宋_GB2312"/>
          <w:sz w:val="28"/>
          <w:szCs w:val="28"/>
        </w:rPr>
        <w:t>加强渔业资源开发和可持续利用，</w:t>
      </w:r>
      <w:r>
        <w:rPr>
          <w:rFonts w:eastAsia="仿宋_GB2312"/>
          <w:sz w:val="28"/>
          <w:szCs w:val="28"/>
        </w:rPr>
        <w:t>依托中国水产科学研究院淡水渔业研究中心，通过品种创新、繁殖培育等方式，保护利用长江长春鳊、中华绒螯蟹、鳜鱼等特色种质资源。</w:t>
      </w:r>
      <w:r>
        <w:rPr>
          <w:rFonts w:eastAsia="仿宋_GB2312"/>
          <w:sz w:val="28"/>
          <w:szCs w:val="28"/>
          <w:highlight w:val="yellow"/>
        </w:rPr>
        <w:t>鼓励产学研合作</w:t>
      </w:r>
      <w:r>
        <w:rPr>
          <w:rFonts w:hint="eastAsia" w:eastAsia="仿宋_GB2312"/>
          <w:sz w:val="28"/>
          <w:szCs w:val="28"/>
          <w:highlight w:val="yellow"/>
        </w:rPr>
        <w:t>，开展河豚育种攻关，构建河豚“育繁销”一体化产业链。</w:t>
      </w:r>
    </w:p>
    <w:p w14:paraId="466DADCC">
      <w:pPr>
        <w:pStyle w:val="20"/>
        <w:numPr>
          <w:ilvl w:val="0"/>
          <w:numId w:val="8"/>
        </w:numPr>
        <w:spacing w:after="0"/>
        <w:ind w:left="0" w:leftChars="0" w:firstLine="562"/>
        <w:rPr>
          <w:rFonts w:eastAsia="仿宋_GB2312"/>
          <w:b/>
          <w:bCs/>
          <w:sz w:val="28"/>
          <w:szCs w:val="28"/>
        </w:rPr>
      </w:pPr>
      <w:r>
        <w:rPr>
          <w:rFonts w:eastAsia="仿宋_GB2312"/>
          <w:b/>
          <w:bCs/>
          <w:sz w:val="28"/>
          <w:szCs w:val="28"/>
        </w:rPr>
        <w:t>塑造靖江特色生态产品品牌</w:t>
      </w:r>
    </w:p>
    <w:p w14:paraId="253FDAE3">
      <w:pPr>
        <w:pStyle w:val="20"/>
        <w:spacing w:after="0"/>
        <w:ind w:left="0" w:leftChars="0" w:firstLine="560"/>
        <w:rPr>
          <w:rFonts w:eastAsia="仿宋_GB2312"/>
          <w:sz w:val="28"/>
          <w:szCs w:val="28"/>
        </w:rPr>
      </w:pPr>
      <w:r>
        <w:rPr>
          <w:rFonts w:eastAsia="仿宋_GB2312"/>
          <w:sz w:val="28"/>
          <w:szCs w:val="28"/>
        </w:rPr>
        <w:t>深入挖掘特色动植物资源，鼓励发展生态种植和养殖，积极支持绿色食品、森林生态标志产品、国家地理标志产品等申报认证，促进生态产品价值实现。建立健全生态产品品牌体系，重点围绕香沙芋、稻米、河蟹、猪肉等优势农产品，建立完善质量控制标准，持续提升农产品市场竞争力。加强香沙芋产品开发，完善田头冷库、加工体系建设，探索更多“芋制品”，提升香沙芋产品附加值。依托“中国河豚美食之乡”，做活“靖江河豚”国家地理标志证明商标，力争打造国内河豚第一品牌。深入挖掘马桥草莓、蟹黄汤包、季市特色食品等靖江美食的健康养生、休闲观光、生态保护和文化传承等功能，做好中国农业品牌目录、全国名特优新农产品名录、江苏农业品牌目录的推荐工作，加快初级农产品商标及全品类农产品区域公用品牌注册的步伐</w:t>
      </w:r>
      <w:r>
        <w:rPr>
          <w:rFonts w:hint="eastAsia" w:eastAsia="仿宋_GB2312"/>
          <w:sz w:val="28"/>
          <w:szCs w:val="28"/>
        </w:rPr>
        <w:t>。</w:t>
      </w:r>
    </w:p>
    <w:p w14:paraId="08229B84">
      <w:pPr>
        <w:pStyle w:val="20"/>
        <w:spacing w:after="0"/>
        <w:ind w:left="0" w:leftChars="0" w:firstLine="560"/>
        <w:rPr>
          <w:rFonts w:eastAsia="仿宋_GB2312"/>
          <w:sz w:val="28"/>
          <w:szCs w:val="28"/>
        </w:rPr>
      </w:pPr>
      <w:r>
        <w:rPr>
          <w:rFonts w:eastAsia="仿宋_GB2312"/>
          <w:sz w:val="28"/>
          <w:szCs w:val="28"/>
        </w:rPr>
        <w:t>重点项目：生态产品供给示范工程</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FBE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64DEE087">
            <w:pPr>
              <w:pStyle w:val="20"/>
              <w:widowControl w:val="0"/>
              <w:spacing w:after="0"/>
              <w:ind w:left="0" w:leftChars="0" w:firstLine="0" w:firstLineChars="0"/>
              <w:jc w:val="center"/>
              <w:rPr>
                <w:rFonts w:eastAsia="仿宋_GB2312"/>
                <w:b/>
                <w:bCs/>
                <w:sz w:val="28"/>
                <w:szCs w:val="28"/>
              </w:rPr>
            </w:pPr>
            <w:r>
              <w:rPr>
                <w:rFonts w:eastAsia="仿宋_GB2312"/>
                <w:b/>
                <w:bCs/>
                <w:sz w:val="28"/>
                <w:szCs w:val="28"/>
              </w:rPr>
              <w:t>专栏11 创建马洲岛生态产品品牌体系</w:t>
            </w:r>
          </w:p>
        </w:tc>
      </w:tr>
      <w:tr w14:paraId="26C7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9002C2B">
            <w:pPr>
              <w:pStyle w:val="20"/>
              <w:widowControl w:val="0"/>
              <w:spacing w:after="0"/>
              <w:ind w:left="0" w:leftChars="0" w:firstLine="560"/>
              <w:rPr>
                <w:rFonts w:eastAsia="仿宋_GB2312"/>
                <w:sz w:val="28"/>
                <w:szCs w:val="28"/>
              </w:rPr>
            </w:pPr>
            <w:r>
              <w:rPr>
                <w:rFonts w:eastAsia="仿宋_GB2312"/>
                <w:sz w:val="28"/>
                <w:szCs w:val="28"/>
              </w:rPr>
              <w:t>实施品牌战略，构建以“马洲岛”“长江马洲岛”为核心品牌的区域特色公用品牌体系。建立生态产品评估机制，精选优质生态产品授权使用公用品牌，通过自然资源和生态产品交易平台进行销售，推动“好生态变成好产品，好产品卖出好价钱”。加快制定马洲岛品牌管理制度，加强品牌的策划和营销，不断提升品牌传播力。构建马洲岛产品品牌增值体系，将资源环境的优势转化为产品品质的优势并通过产品平台固化推广，最终实现单位产品价值的明显提升。</w:t>
            </w:r>
          </w:p>
        </w:tc>
      </w:tr>
    </w:tbl>
    <w:p w14:paraId="795062AE">
      <w:pPr>
        <w:pStyle w:val="20"/>
        <w:spacing w:after="0"/>
        <w:ind w:left="0" w:leftChars="0" w:firstLine="560"/>
        <w:rPr>
          <w:rFonts w:eastAsia="仿宋_GB2312"/>
          <w:sz w:val="28"/>
          <w:szCs w:val="28"/>
        </w:rPr>
      </w:pPr>
    </w:p>
    <w:p w14:paraId="2868AFC0">
      <w:pPr>
        <w:pStyle w:val="20"/>
        <w:numPr>
          <w:ilvl w:val="0"/>
          <w:numId w:val="8"/>
        </w:numPr>
        <w:spacing w:after="0"/>
        <w:ind w:left="0" w:leftChars="0" w:firstLine="562"/>
        <w:rPr>
          <w:rFonts w:eastAsia="仿宋_GB2312"/>
          <w:b/>
          <w:bCs/>
          <w:sz w:val="28"/>
          <w:szCs w:val="28"/>
        </w:rPr>
      </w:pPr>
      <w:r>
        <w:rPr>
          <w:rFonts w:eastAsia="仿宋_GB2312"/>
          <w:b/>
          <w:bCs/>
          <w:sz w:val="28"/>
          <w:szCs w:val="28"/>
        </w:rPr>
        <w:t>开展生态产品价值核算</w:t>
      </w:r>
    </w:p>
    <w:p w14:paraId="5BE28322">
      <w:pPr>
        <w:pStyle w:val="20"/>
        <w:spacing w:after="0"/>
        <w:ind w:left="0" w:leftChars="0" w:firstLine="560"/>
        <w:rPr>
          <w:rFonts w:eastAsia="仿宋_GB2312"/>
          <w:sz w:val="28"/>
          <w:szCs w:val="28"/>
        </w:rPr>
      </w:pPr>
      <w:r>
        <w:rPr>
          <w:rFonts w:eastAsia="仿宋_GB2312"/>
          <w:sz w:val="28"/>
          <w:szCs w:val="28"/>
        </w:rPr>
        <w:t>在自然资源统一调查监测和确权登记的基础上，明确不同生态系统中各类生态产品的特征属性，制定靖江市生态产品目录清单，推进建立生态产品数据库，并以两年为周期进行动态调整。构建生态产品价值评价机制，开展生态产品价值核算。结合生态产品实物量价值核算结果，及时通过市场交易、经济补偿等手段，探索不同类型生态产品经济价值核算，定期发布核算结果，掌握生态产品价值、供给状况及动态变化趋势。建立生态产品价值差异化考核机制，重点考核生态产品供给能力、环境质量提升、生态保护成效等方面指标。结合靖江市实际，探索实施差异化考核办法，对于承担生态保护修复任务重的地区，弱化工业增加值考核，探索以GEP及自然生态产品价值转化为导向的考核方式。每两年核算一次生态产品价值量。</w:t>
      </w:r>
    </w:p>
    <w:p w14:paraId="61B94B6F">
      <w:pPr>
        <w:pStyle w:val="20"/>
        <w:spacing w:after="0"/>
        <w:ind w:left="0" w:leftChars="0" w:firstLine="560"/>
        <w:rPr>
          <w:rFonts w:eastAsia="仿宋_GB2312"/>
          <w:sz w:val="28"/>
          <w:szCs w:val="28"/>
        </w:rPr>
      </w:pPr>
      <w:r>
        <w:rPr>
          <w:rFonts w:eastAsia="仿宋_GB2312"/>
          <w:sz w:val="28"/>
          <w:szCs w:val="28"/>
        </w:rPr>
        <w:t>重点项目：生态产品价值核算工程</w:t>
      </w:r>
    </w:p>
    <w:p w14:paraId="30733113">
      <w:pPr>
        <w:pStyle w:val="20"/>
        <w:numPr>
          <w:ilvl w:val="0"/>
          <w:numId w:val="8"/>
        </w:numPr>
        <w:spacing w:after="0"/>
        <w:ind w:left="0" w:leftChars="0" w:firstLine="562"/>
        <w:rPr>
          <w:rFonts w:eastAsia="仿宋_GB2312"/>
          <w:b/>
          <w:bCs/>
          <w:sz w:val="28"/>
          <w:szCs w:val="28"/>
        </w:rPr>
      </w:pPr>
      <w:r>
        <w:rPr>
          <w:rFonts w:eastAsia="仿宋_GB2312"/>
          <w:b/>
          <w:bCs/>
          <w:sz w:val="28"/>
          <w:szCs w:val="28"/>
        </w:rPr>
        <w:t>规范生物多样性友好型经营活动</w:t>
      </w:r>
    </w:p>
    <w:p w14:paraId="1E46799E">
      <w:pPr>
        <w:pStyle w:val="20"/>
        <w:spacing w:after="0"/>
        <w:ind w:left="0" w:leftChars="0" w:firstLine="560"/>
        <w:rPr>
          <w:rFonts w:eastAsia="仿宋_GB2312"/>
          <w:sz w:val="28"/>
          <w:szCs w:val="28"/>
        </w:rPr>
      </w:pPr>
      <w:r>
        <w:rPr>
          <w:rFonts w:eastAsia="仿宋_GB2312"/>
          <w:sz w:val="28"/>
          <w:szCs w:val="28"/>
        </w:rPr>
        <w:t>发展智能化粮食烘干加工、规模化粮油精深加工、现代化营养米面加工等产业，加快建设长三角重要的“粮谷”“油库”。大力发展休闲食品精深加工，</w:t>
      </w:r>
      <w:r>
        <w:rPr>
          <w:rFonts w:hint="eastAsia" w:eastAsia="仿宋_GB2312"/>
          <w:sz w:val="28"/>
          <w:szCs w:val="28"/>
          <w:highlight w:val="yellow"/>
        </w:rPr>
        <w:t>鼓励农产品加工企业与国内知名休闲食品品牌建立深度合作关系</w:t>
      </w:r>
      <w:r>
        <w:rPr>
          <w:rFonts w:eastAsia="仿宋_GB2312"/>
          <w:sz w:val="28"/>
          <w:szCs w:val="28"/>
        </w:rPr>
        <w:t>，共建本地生产研发基地，提高产品研发、品牌培育和市场推广水平，进一步擦亮“中国猪肉脯之乡”“中国汤包之乡”等金字招牌，建设“靖江猪肉脯”全国重点地方特色食品产业集群。</w:t>
      </w:r>
      <w:r>
        <w:rPr>
          <w:rFonts w:hint="eastAsia" w:eastAsia="仿宋_GB2312"/>
          <w:sz w:val="28"/>
          <w:szCs w:val="28"/>
          <w:highlight w:val="yellow"/>
        </w:rPr>
        <w:t>壮大一批粮食、食品类农业龙头企业，</w:t>
      </w:r>
      <w:r>
        <w:rPr>
          <w:rFonts w:eastAsia="仿宋_GB2312"/>
          <w:sz w:val="28"/>
          <w:szCs w:val="28"/>
        </w:rPr>
        <w:t>提档升级粮食流通、休闲食品加工等优势特色产业集群，培育壮大果蔬水产精深加工、农业新型服务业等一批新兴特色产业集群。深入开发农业多种功能，挖掘农村多元价值，发展休闲旅游、观光采摘、农事体验、科普教育、民俗文化、健康养生等业态，精心设计精品农旅观光线路，进一步提升县域农业休闲旅游知名度，推动生物多样性保护与乡村振兴相结合。</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1C1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7FA2C95C">
            <w:pPr>
              <w:pStyle w:val="4"/>
              <w:widowControl w:val="0"/>
              <w:numPr>
                <w:ilvl w:val="255"/>
                <w:numId w:val="0"/>
              </w:numPr>
              <w:overflowPunct w:val="0"/>
              <w:autoSpaceDE/>
              <w:autoSpaceDN/>
              <w:spacing w:line="360" w:lineRule="auto"/>
              <w:jc w:val="center"/>
              <w:rPr>
                <w:rFonts w:ascii="Times New Roman" w:hAnsi="Times New Roman" w:eastAsia="仿宋_GB2312"/>
                <w:bCs/>
                <w:sz w:val="28"/>
                <w:szCs w:val="28"/>
              </w:rPr>
            </w:pPr>
            <w:r>
              <w:rPr>
                <w:rFonts w:ascii="Times New Roman" w:hAnsi="Times New Roman" w:eastAsia="仿宋_GB2312"/>
                <w:bCs/>
                <w:kern w:val="2"/>
                <w:sz w:val="28"/>
                <w:szCs w:val="28"/>
              </w:rPr>
              <w:t>专栏12 发展智慧农业</w:t>
            </w:r>
          </w:p>
        </w:tc>
      </w:tr>
      <w:tr w14:paraId="693D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bottom w:val="single" w:color="auto" w:sz="4" w:space="0"/>
            </w:tcBorders>
          </w:tcPr>
          <w:p w14:paraId="14B36C87">
            <w:pPr>
              <w:pStyle w:val="4"/>
              <w:widowControl w:val="0"/>
              <w:numPr>
                <w:ilvl w:val="255"/>
                <w:numId w:val="0"/>
              </w:numPr>
              <w:overflowPunct w:val="0"/>
              <w:autoSpaceDE/>
              <w:autoSpaceDN/>
              <w:spacing w:line="360" w:lineRule="auto"/>
              <w:ind w:firstLine="560" w:firstLineChars="200"/>
              <w:jc w:val="left"/>
              <w:rPr>
                <w:rFonts w:ascii="Times New Roman" w:hAnsi="Times New Roman" w:eastAsia="仿宋_GB2312"/>
                <w:b w:val="0"/>
                <w:bCs/>
                <w:sz w:val="28"/>
                <w:szCs w:val="28"/>
              </w:rPr>
            </w:pPr>
            <w:r>
              <w:rPr>
                <w:rFonts w:ascii="Times New Roman" w:hAnsi="Times New Roman" w:eastAsia="仿宋_GB2312"/>
                <w:b w:val="0"/>
                <w:bCs/>
                <w:sz w:val="28"/>
                <w:szCs w:val="28"/>
              </w:rPr>
              <w:t>依托靖江现代农业产业园区、孤山镇智慧生态农业园等园区，大力发展智慧农业，研发物联网、大数据、云计算、人工智能等技术，集成智能灌溉、农情测报、耕地质量监测和智慧农业云平台等功能，构建立体化的生态环境监测系统和无人化作业系统，逐步打造集农田数字化、管理自动化、监测信息化、全程机械化为一体的现代数字智慧农业集成项目，助力乡村振兴提档升级。</w:t>
            </w:r>
          </w:p>
        </w:tc>
      </w:tr>
      <w:tr w14:paraId="6276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tcBorders>
            <w:shd w:val="clear" w:color="auto" w:fill="8CC8D3"/>
          </w:tcPr>
          <w:p w14:paraId="28AE8E55">
            <w:pPr>
              <w:pStyle w:val="4"/>
              <w:widowControl w:val="0"/>
              <w:numPr>
                <w:ilvl w:val="255"/>
                <w:numId w:val="0"/>
              </w:numPr>
              <w:overflowPunct w:val="0"/>
              <w:autoSpaceDE/>
              <w:autoSpaceDN/>
              <w:spacing w:line="360" w:lineRule="auto"/>
              <w:jc w:val="center"/>
              <w:rPr>
                <w:rFonts w:ascii="Times New Roman" w:hAnsi="Times New Roman" w:eastAsia="仿宋_GB2312"/>
                <w:sz w:val="28"/>
                <w:szCs w:val="28"/>
              </w:rPr>
            </w:pPr>
            <w:r>
              <w:rPr>
                <w:rFonts w:ascii="Times New Roman" w:hAnsi="Times New Roman" w:eastAsia="仿宋_GB2312"/>
                <w:sz w:val="28"/>
                <w:szCs w:val="28"/>
              </w:rPr>
              <w:t>专栏13 推进实施健康养殖</w:t>
            </w:r>
          </w:p>
        </w:tc>
      </w:tr>
      <w:tr w14:paraId="30BD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1C982B5">
            <w:pPr>
              <w:pStyle w:val="4"/>
              <w:widowControl w:val="0"/>
              <w:numPr>
                <w:ilvl w:val="255"/>
                <w:numId w:val="0"/>
              </w:numPr>
              <w:overflowPunct w:val="0"/>
              <w:autoSpaceDE/>
              <w:autoSpaceDN/>
              <w:spacing w:line="360" w:lineRule="auto"/>
              <w:ind w:firstLine="560" w:firstLineChars="200"/>
              <w:jc w:val="left"/>
              <w:rPr>
                <w:rFonts w:ascii="Times New Roman" w:hAnsi="Times New Roman" w:eastAsia="仿宋_GB2312"/>
                <w:b w:val="0"/>
                <w:bCs/>
                <w:sz w:val="28"/>
                <w:szCs w:val="28"/>
              </w:rPr>
            </w:pPr>
            <w:r>
              <w:rPr>
                <w:rFonts w:ascii="Times New Roman" w:hAnsi="Times New Roman" w:eastAsia="仿宋_GB2312"/>
                <w:b w:val="0"/>
                <w:bCs/>
                <w:sz w:val="28"/>
                <w:szCs w:val="28"/>
              </w:rPr>
              <w:t>以创建生态养殖示范区为抓手，实施生态健康养殖、养殖尾水治理、养殖用药减量、配合饲料替代和种业质量提升等水产绿色健康养殖技术推广“五大行动”，集成示范推广绿色生态、尾水治理、循环利用、安全可控、防灾减灾等关键技术模式，提升健康养殖水平。对于池塘养殖，特别是集中连片高密度池塘鱼虾养殖，因地制宜采取“改”（实施生态化改造，配套尾水净化区域和措施）、“控”（控减养殖密度、养殖容量）、“转”（藕渔综合种养、稻渔综合种养）等措施发展生态健康养殖。</w:t>
            </w:r>
          </w:p>
        </w:tc>
      </w:tr>
    </w:tbl>
    <w:p w14:paraId="2C3D77FD">
      <w:pPr>
        <w:pStyle w:val="20"/>
        <w:spacing w:after="0"/>
        <w:ind w:left="0" w:leftChars="0" w:firstLine="560"/>
        <w:rPr>
          <w:rFonts w:eastAsia="仿宋_GB2312"/>
          <w:sz w:val="28"/>
          <w:szCs w:val="28"/>
        </w:rPr>
      </w:pPr>
    </w:p>
    <w:p w14:paraId="75E9236B">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93" w:name="_Toc10734"/>
      <w:bookmarkStart w:id="94" w:name="_Toc19201"/>
      <w:r>
        <w:rPr>
          <w:rFonts w:eastAsia="仿宋_GB2312"/>
          <w:b/>
          <w:bCs/>
          <w:kern w:val="2"/>
          <w:sz w:val="30"/>
          <w:szCs w:val="32"/>
        </w:rPr>
        <w:t>5.7 营造生物多样性保护友好氛围</w:t>
      </w:r>
      <w:bookmarkEnd w:id="93"/>
      <w:bookmarkEnd w:id="94"/>
    </w:p>
    <w:p w14:paraId="693D5A06">
      <w:pPr>
        <w:pStyle w:val="20"/>
        <w:spacing w:after="0" w:line="360" w:lineRule="auto"/>
        <w:ind w:left="0" w:leftChars="0" w:firstLine="562"/>
        <w:rPr>
          <w:rFonts w:eastAsia="仿宋_GB2312"/>
          <w:b/>
          <w:bCs/>
          <w:sz w:val="28"/>
          <w:szCs w:val="28"/>
        </w:rPr>
      </w:pPr>
      <w:r>
        <w:rPr>
          <w:rFonts w:eastAsia="仿宋_GB2312"/>
          <w:b/>
          <w:bCs/>
          <w:sz w:val="28"/>
          <w:szCs w:val="28"/>
        </w:rPr>
        <w:t>1. 打造生物多样性科普体验场所</w:t>
      </w:r>
    </w:p>
    <w:p w14:paraId="5265B193">
      <w:pPr>
        <w:pStyle w:val="20"/>
        <w:spacing w:after="0" w:line="360" w:lineRule="auto"/>
        <w:ind w:left="0" w:leftChars="0" w:firstLine="560"/>
        <w:rPr>
          <w:rFonts w:eastAsia="仿宋_GB2312"/>
          <w:sz w:val="28"/>
          <w:szCs w:val="28"/>
        </w:rPr>
      </w:pPr>
      <w:r>
        <w:rPr>
          <w:rFonts w:eastAsia="仿宋_GB2312"/>
          <w:sz w:val="28"/>
          <w:szCs w:val="28"/>
        </w:rPr>
        <w:t>打造马洲岛生物多样性主题科普展示馆，建立靖江生物多样性宣教基地。结合靖江马洲岛“生态岛”试验区建设，依托马洲岛长江生物多样性保护科学观测研究站，制定生物多样性观测路线，将室内生物多样性展区与室外生物多样性观测体验区相结合，设计特色鲜明、有针对性的体验课程、体验展览和游学路线，在良好的生态环境中，打造包括生物多样性教育、科学教育、传统知识教育等综合性项目的自然教育体系。将生物多样性科普体验作为生态旅游的重要组成部分，成为促进共同富裕的激发点，形成生物多样性科普、展示、价值转化的亮点和品牌。</w:t>
      </w:r>
    </w:p>
    <w:p w14:paraId="6A58AD31">
      <w:pPr>
        <w:pStyle w:val="20"/>
        <w:spacing w:after="0" w:line="360" w:lineRule="auto"/>
        <w:ind w:left="0" w:leftChars="0" w:firstLine="560"/>
        <w:rPr>
          <w:rFonts w:eastAsia="仿宋_GB2312"/>
          <w:sz w:val="28"/>
          <w:szCs w:val="28"/>
        </w:rPr>
      </w:pPr>
      <w:r>
        <w:rPr>
          <w:rFonts w:eastAsia="仿宋_GB2312"/>
          <w:sz w:val="28"/>
          <w:szCs w:val="28"/>
        </w:rPr>
        <w:t>重点项目：生物多样性展示平台建设工程</w:t>
      </w:r>
    </w:p>
    <w:p w14:paraId="7F9B7297">
      <w:pPr>
        <w:pStyle w:val="20"/>
        <w:spacing w:after="0"/>
        <w:ind w:left="0" w:leftChars="0" w:firstLine="562"/>
        <w:rPr>
          <w:rFonts w:eastAsia="仿宋_GB2312"/>
          <w:b/>
          <w:bCs/>
          <w:sz w:val="28"/>
          <w:szCs w:val="28"/>
        </w:rPr>
      </w:pPr>
      <w:r>
        <w:rPr>
          <w:rFonts w:eastAsia="仿宋_GB2312"/>
          <w:b/>
          <w:bCs/>
          <w:sz w:val="28"/>
          <w:szCs w:val="28"/>
        </w:rPr>
        <w:t>2. 提高生物多样性保护参与度</w:t>
      </w:r>
    </w:p>
    <w:p w14:paraId="054DD26B">
      <w:pPr>
        <w:pStyle w:val="20"/>
        <w:spacing w:after="0"/>
        <w:ind w:left="0" w:leftChars="0" w:firstLine="560"/>
        <w:rPr>
          <w:rFonts w:eastAsia="仿宋_GB2312"/>
          <w:sz w:val="28"/>
          <w:szCs w:val="28"/>
        </w:rPr>
      </w:pPr>
      <w:r>
        <w:rPr>
          <w:rFonts w:eastAsia="仿宋_GB2312"/>
          <w:sz w:val="28"/>
          <w:szCs w:val="28"/>
        </w:rPr>
        <w:t>加大对生物多样性保护工作的监督管理和投入力度，建立健全企业、社会组织和公众参与生物多样性保护的长效机制，提高社会各界保护生物多样性的自觉性。丰富生物多样性保护教育内容，创新生物多样性宣传手段，通过课堂授课、直播宣讲、社会实践等各种活动提高公众的生物多样性保护意识，营造全社会共同参与生物多样性保护的良好氛围。开展各种群众喜闻乐见的宣传活动，拓宽公众参与生物多样性观测记录、科学探究等活动途径，充分调动群众积极性，提升公众参与度和满意度。完善公众参与生物多样性保护决策过程的途径和机制，形成举报、听证、研讨等形式多样的公众参与制度。</w:t>
      </w:r>
    </w:p>
    <w:p w14:paraId="7C8DEDFD">
      <w:pPr>
        <w:pStyle w:val="20"/>
        <w:spacing w:after="0"/>
        <w:ind w:left="0" w:leftChars="0" w:firstLine="560"/>
        <w:rPr>
          <w:rFonts w:eastAsia="仿宋_GB2312"/>
          <w:sz w:val="28"/>
          <w:szCs w:val="28"/>
        </w:rPr>
      </w:pPr>
      <w:r>
        <w:rPr>
          <w:rFonts w:eastAsia="仿宋_GB2312"/>
          <w:sz w:val="28"/>
          <w:szCs w:val="28"/>
        </w:rPr>
        <w:t>重点项目：生物多样性宣传活动</w:t>
      </w:r>
    </w:p>
    <w:p w14:paraId="2D185190">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95" w:name="_Toc26344"/>
      <w:bookmarkStart w:id="96" w:name="_Toc1713"/>
      <w:r>
        <w:rPr>
          <w:rFonts w:eastAsia="仿宋_GB2312"/>
          <w:b/>
          <w:bCs/>
          <w:kern w:val="2"/>
          <w:sz w:val="30"/>
          <w:szCs w:val="32"/>
        </w:rPr>
        <w:t>5.8 严格执法检查和监督评估</w:t>
      </w:r>
      <w:bookmarkEnd w:id="95"/>
      <w:bookmarkEnd w:id="96"/>
    </w:p>
    <w:p w14:paraId="7EC31D40">
      <w:pPr>
        <w:pStyle w:val="20"/>
        <w:spacing w:after="0"/>
        <w:ind w:left="0" w:leftChars="0" w:firstLine="562"/>
        <w:rPr>
          <w:rFonts w:eastAsia="仿宋_GB2312"/>
          <w:b/>
          <w:bCs/>
          <w:sz w:val="28"/>
          <w:szCs w:val="28"/>
        </w:rPr>
      </w:pPr>
      <w:r>
        <w:rPr>
          <w:rFonts w:eastAsia="仿宋_GB2312"/>
          <w:b/>
          <w:bCs/>
          <w:sz w:val="28"/>
          <w:szCs w:val="28"/>
        </w:rPr>
        <w:t>1. 全面强化生态空间管控</w:t>
      </w:r>
    </w:p>
    <w:p w14:paraId="32BA3C80">
      <w:pPr>
        <w:pStyle w:val="4"/>
        <w:rPr>
          <w:rFonts w:ascii="Times New Roman" w:hAnsi="Times New Roman" w:eastAsia="仿宋_GB2312"/>
          <w:b w:val="0"/>
          <w:sz w:val="28"/>
          <w:szCs w:val="28"/>
        </w:rPr>
      </w:pPr>
      <w:r>
        <w:rPr>
          <w:rFonts w:ascii="Times New Roman" w:hAnsi="Times New Roman" w:eastAsia="仿宋_GB2312"/>
          <w:b w:val="0"/>
          <w:sz w:val="28"/>
          <w:szCs w:val="28"/>
        </w:rPr>
        <w:t>严守生态保护红线，进一步推进靖江市生态保护红线监管平台的信息化、平台化建设，制定生态保护红线调查、监测、评估和考核等监管制度，制定相应管控措施。推进生态保护红线范围内的生态环境问题整治，有序腾退生态保护红线内工业用地，退出土地用于生态空间建设。在招商引资和项目审批中落实生态保护红线管理要求，严格控制重要生态保护红线区域内的建设活动、严格产业准入。严格落实《江苏省生态空间管控区域监督管理办法》，按照生态功能不降低、面积不减少、性质不改变的要求，加强5大类7个生态空间管控区域保护与管控，切实维护生态安全。开展靖江市生态空间管控区域常态化巡查，对生态空间管控区域内违法违规开发建设活动，以及破坏珍稀濒危和受保护物种等行为进行全面监控，对发现的问题线索，及时组织核查，依法依规处理。</w:t>
      </w:r>
    </w:p>
    <w:p w14:paraId="73063EDF">
      <w:pPr>
        <w:pStyle w:val="4"/>
        <w:rPr>
          <w:rFonts w:ascii="Times New Roman" w:hAnsi="Times New Roman" w:eastAsia="仿宋_GB2312"/>
          <w:bCs/>
          <w:sz w:val="28"/>
          <w:szCs w:val="28"/>
        </w:rPr>
      </w:pPr>
      <w:r>
        <w:rPr>
          <w:rFonts w:ascii="Times New Roman" w:hAnsi="Times New Roman" w:eastAsia="仿宋_GB2312"/>
          <w:bCs/>
          <w:sz w:val="28"/>
          <w:szCs w:val="28"/>
        </w:rPr>
        <w:t>2. 强化生态保护执法监督</w:t>
      </w:r>
    </w:p>
    <w:p w14:paraId="3768DD4F">
      <w:pPr>
        <w:pStyle w:val="4"/>
        <w:rPr>
          <w:rFonts w:ascii="Times New Roman" w:hAnsi="Times New Roman" w:eastAsia="仿宋_GB2312"/>
          <w:b w:val="0"/>
          <w:sz w:val="28"/>
          <w:szCs w:val="28"/>
        </w:rPr>
      </w:pPr>
      <w:r>
        <w:rPr>
          <w:rFonts w:ascii="Times New Roman" w:hAnsi="Times New Roman" w:eastAsia="仿宋_GB2312"/>
          <w:b w:val="0"/>
          <w:sz w:val="28"/>
          <w:szCs w:val="28"/>
        </w:rPr>
        <w:t>定期组织开展重要保护物种栖息地人类活动遥感监测和现场核查，将危害国家重点保护野生动植物及其栖息地纳入生态环境保护督察、“绿盾”自然保护地强化监督、生态空间保护区域“天地双眼”监管等专项行动。强化对各类自然保护地、生态空间管控区域的监督检查，对已完成清理整治问题开展“回头看”。组织开展长江禁捕专项执法检查，有效防范和打击非法捕捞、销售、利用长江野生渔获物等违法行为，依法取缔各种非法利用和破坏水生生物资源及其生态、生境的船舶。加强自然资源和规划、生态环境、水利等相关部门协同执法，严厉打击非法猎捕、采集、运输、交易野生动植物及其制品等违法犯罪行为。不断加强技术保障和人才队伍建设，配备执法记录仪、高清照相机、无人机、热红外成像仪等监管装备，为开展专项监督工作提供强力保障。</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71B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9FD6D9"/>
          </w:tcPr>
          <w:p w14:paraId="48D06C5E">
            <w:pPr>
              <w:pStyle w:val="4"/>
              <w:widowControl w:val="0"/>
              <w:ind w:left="0" w:firstLine="0"/>
              <w:jc w:val="center"/>
              <w:rPr>
                <w:rFonts w:ascii="Times New Roman" w:hAnsi="Times New Roman" w:eastAsia="仿宋_GB2312"/>
                <w:bCs/>
                <w:sz w:val="28"/>
                <w:szCs w:val="28"/>
              </w:rPr>
            </w:pPr>
            <w:r>
              <w:rPr>
                <w:rFonts w:ascii="Times New Roman" w:hAnsi="Times New Roman" w:eastAsia="仿宋_GB2312"/>
                <w:bCs/>
                <w:sz w:val="28"/>
                <w:szCs w:val="28"/>
              </w:rPr>
              <w:t>专栏14 严格控制重点水域开发</w:t>
            </w:r>
          </w:p>
        </w:tc>
      </w:tr>
      <w:tr w14:paraId="672A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47104F6">
            <w:pPr>
              <w:pStyle w:val="4"/>
              <w:widowControl w:val="0"/>
              <w:autoSpaceDE/>
              <w:autoSpaceDN/>
              <w:ind w:left="0" w:firstLine="560" w:firstLineChars="200"/>
              <w:jc w:val="both"/>
              <w:rPr>
                <w:rFonts w:ascii="Times New Roman" w:hAnsi="Times New Roman" w:eastAsia="仿宋_GB2312"/>
                <w:b w:val="0"/>
                <w:sz w:val="28"/>
                <w:szCs w:val="28"/>
              </w:rPr>
            </w:pPr>
            <w:r>
              <w:rPr>
                <w:rFonts w:ascii="Times New Roman" w:hAnsi="Times New Roman" w:eastAsia="仿宋_GB2312"/>
                <w:b w:val="0"/>
                <w:sz w:val="28"/>
                <w:szCs w:val="28"/>
              </w:rPr>
              <w:t>加强对长江岸线建设工程活动的规范化管理，强化对水域保护措施落实情况的监督检查。加强执法检查，严厉禁止破坏珍稀濒危和特有物种的栖息地，严厉处罚超标排放污染物等对水环境和水生生物造成重大影响的活动。</w:t>
            </w:r>
          </w:p>
        </w:tc>
      </w:tr>
    </w:tbl>
    <w:p w14:paraId="4FF2031D">
      <w:pPr>
        <w:pStyle w:val="4"/>
        <w:ind w:left="0" w:firstLine="0"/>
        <w:rPr>
          <w:rFonts w:ascii="Times New Roman" w:hAnsi="Times New Roman" w:eastAsia="仿宋_GB2312"/>
          <w:b w:val="0"/>
          <w:sz w:val="28"/>
          <w:szCs w:val="28"/>
        </w:rPr>
      </w:pPr>
    </w:p>
    <w:p w14:paraId="7D393B47">
      <w:pPr>
        <w:rPr>
          <w:rFonts w:eastAsia="仿宋_GB2312"/>
        </w:rPr>
      </w:pPr>
      <w:r>
        <w:rPr>
          <w:rFonts w:eastAsia="仿宋_GB2312"/>
        </w:rPr>
        <w:br w:type="page"/>
      </w:r>
    </w:p>
    <w:p w14:paraId="3E29D6C0">
      <w:pPr>
        <w:keepNext/>
        <w:keepLines/>
        <w:widowControl w:val="0"/>
        <w:spacing w:before="100" w:beforeAutospacing="1" w:after="100" w:afterAutospacing="1" w:line="590" w:lineRule="exact"/>
        <w:jc w:val="center"/>
        <w:outlineLvl w:val="0"/>
        <w:rPr>
          <w:rFonts w:eastAsia="仿宋_GB2312"/>
          <w:b/>
          <w:bCs/>
          <w:kern w:val="44"/>
          <w:sz w:val="32"/>
          <w:szCs w:val="44"/>
        </w:rPr>
      </w:pPr>
      <w:bookmarkStart w:id="97" w:name="_Toc31644"/>
      <w:bookmarkStart w:id="98" w:name="_Toc21234"/>
      <w:r>
        <w:rPr>
          <w:rFonts w:eastAsia="仿宋_GB2312"/>
          <w:b/>
          <w:bCs/>
          <w:kern w:val="44"/>
          <w:sz w:val="32"/>
          <w:szCs w:val="44"/>
        </w:rPr>
        <w:t>第六章 保障措施</w:t>
      </w:r>
      <w:bookmarkEnd w:id="97"/>
      <w:bookmarkEnd w:id="98"/>
    </w:p>
    <w:p w14:paraId="0D620C63">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99" w:name="_Toc6911"/>
      <w:bookmarkStart w:id="100" w:name="_Toc2616"/>
      <w:bookmarkStart w:id="101" w:name="_Toc123921337"/>
      <w:r>
        <w:rPr>
          <w:rFonts w:eastAsia="仿宋_GB2312"/>
          <w:b/>
          <w:bCs/>
          <w:kern w:val="2"/>
          <w:sz w:val="30"/>
          <w:szCs w:val="32"/>
        </w:rPr>
        <w:t>6.1 加强组织领导</w:t>
      </w:r>
      <w:bookmarkEnd w:id="99"/>
      <w:bookmarkEnd w:id="100"/>
      <w:bookmarkEnd w:id="101"/>
    </w:p>
    <w:p w14:paraId="392E07E1">
      <w:pPr>
        <w:spacing w:line="360" w:lineRule="auto"/>
        <w:ind w:firstLine="560" w:firstLineChars="200"/>
        <w:rPr>
          <w:rFonts w:eastAsia="仿宋_GB2312"/>
          <w:sz w:val="28"/>
          <w:szCs w:val="28"/>
        </w:rPr>
      </w:pPr>
      <w:r>
        <w:rPr>
          <w:rFonts w:eastAsia="仿宋_GB2312"/>
          <w:sz w:val="28"/>
          <w:szCs w:val="28"/>
        </w:rPr>
        <w:t>建立生物多样性保护与利用协调工作机制，统筹协调全市生物多样性保护相关工作。市委、市政府作为生物多样性保护工作的责任主体，明确生态环境保护“党政同责、一岗双责”责任要求。发改、科技、财政、自然资源和规划、生态环境、住房和城乡建设、水利、农业农村等部门认真履行生物多样性保护相关职能，协调联动，形成工作合力，定期召开联席会议，推动生态空间管控和生物多样性保护协同增效。</w:t>
      </w:r>
    </w:p>
    <w:p w14:paraId="7C53BEB5">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102" w:name="_Toc9842"/>
      <w:bookmarkStart w:id="103" w:name="_Toc32533"/>
      <w:bookmarkStart w:id="104" w:name="_Toc123921338"/>
      <w:r>
        <w:rPr>
          <w:rFonts w:eastAsia="仿宋_GB2312"/>
          <w:b/>
          <w:bCs/>
          <w:kern w:val="2"/>
          <w:sz w:val="30"/>
          <w:szCs w:val="32"/>
        </w:rPr>
        <w:t>6.2 加大资金保障</w:t>
      </w:r>
      <w:bookmarkEnd w:id="102"/>
      <w:bookmarkEnd w:id="103"/>
      <w:bookmarkEnd w:id="104"/>
    </w:p>
    <w:p w14:paraId="5AA53493">
      <w:pPr>
        <w:spacing w:line="360" w:lineRule="auto"/>
        <w:ind w:firstLine="560" w:firstLineChars="200"/>
        <w:rPr>
          <w:rFonts w:eastAsia="仿宋_GB2312"/>
          <w:sz w:val="28"/>
          <w:szCs w:val="28"/>
        </w:rPr>
      </w:pPr>
      <w:r>
        <w:rPr>
          <w:rFonts w:eastAsia="仿宋_GB2312"/>
          <w:sz w:val="28"/>
          <w:szCs w:val="28"/>
        </w:rPr>
        <w:t>将生物多样性保护与可持续利用纳入靖江市社会经济发展规划。以省级专项资金和地方财政资金为主，其他资金为辅，开拓多元化投融资渠道，继续支持生物多样性保护工作，并向生物多样性观测网络、马洲岛“生态岛”试验区建设等重大生态工程项目倾斜。进一步完善生态补偿机制，加强各级财政资源统筹，提高财政资金配置效率和使用效益。</w:t>
      </w:r>
    </w:p>
    <w:p w14:paraId="760F2F1E">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105" w:name="_Toc123921339"/>
      <w:bookmarkStart w:id="106" w:name="_Toc5644"/>
      <w:bookmarkStart w:id="107" w:name="_Toc12039"/>
      <w:r>
        <w:rPr>
          <w:rFonts w:eastAsia="仿宋_GB2312"/>
          <w:b/>
          <w:bCs/>
          <w:kern w:val="2"/>
          <w:sz w:val="30"/>
          <w:szCs w:val="32"/>
        </w:rPr>
        <w:t>6.3 强化科技支撑</w:t>
      </w:r>
      <w:bookmarkEnd w:id="105"/>
      <w:bookmarkEnd w:id="106"/>
      <w:bookmarkEnd w:id="107"/>
    </w:p>
    <w:p w14:paraId="29E474CA">
      <w:pPr>
        <w:spacing w:before="100" w:beforeAutospacing="1" w:after="100" w:afterAutospacing="1" w:line="360" w:lineRule="auto"/>
        <w:ind w:firstLine="560" w:firstLineChars="200"/>
        <w:rPr>
          <w:rFonts w:eastAsia="仿宋_GB2312"/>
          <w:sz w:val="28"/>
          <w:szCs w:val="28"/>
        </w:rPr>
      </w:pPr>
      <w:r>
        <w:rPr>
          <w:rFonts w:eastAsia="仿宋_GB2312"/>
          <w:sz w:val="28"/>
          <w:szCs w:val="28"/>
        </w:rPr>
        <w:t>加强与高校、科研单位、企业、民间组织等的交流与合作，开展生物多样性保护科学评估及示范工作，强化生物多样性保护、监测、生态产品价值保护、转化的技术支撑，加强自然保护地体系建设和管理，促进生物多样性保护科学、可持续发展。加强生物多样性保护人才培养，提高相关人员专业、管理和技术水平。支持和培育产学研结合、科教企联合、多学科合作的高水平专家团队，创新开展工作，实现生物多样性保护与利用科学化、合理化。</w:t>
      </w:r>
    </w:p>
    <w:p w14:paraId="53C5587E">
      <w:pPr>
        <w:keepNext/>
        <w:keepLines/>
        <w:widowControl w:val="0"/>
        <w:adjustRightInd w:val="0"/>
        <w:snapToGrid w:val="0"/>
        <w:spacing w:before="100" w:beforeAutospacing="1" w:after="100" w:afterAutospacing="1" w:line="360" w:lineRule="auto"/>
        <w:jc w:val="both"/>
        <w:outlineLvl w:val="1"/>
        <w:rPr>
          <w:rFonts w:eastAsia="仿宋_GB2312"/>
          <w:b/>
          <w:bCs/>
          <w:kern w:val="2"/>
          <w:sz w:val="30"/>
          <w:szCs w:val="32"/>
        </w:rPr>
      </w:pPr>
      <w:bookmarkStart w:id="108" w:name="_Toc7467"/>
      <w:bookmarkStart w:id="109" w:name="_Toc24496"/>
      <w:bookmarkStart w:id="110" w:name="_Toc123921340"/>
      <w:r>
        <w:rPr>
          <w:rFonts w:eastAsia="仿宋_GB2312"/>
          <w:b/>
          <w:bCs/>
          <w:kern w:val="2"/>
          <w:sz w:val="30"/>
          <w:szCs w:val="32"/>
        </w:rPr>
        <w:t>6.4 加强宣传推广</w:t>
      </w:r>
      <w:bookmarkEnd w:id="108"/>
      <w:bookmarkEnd w:id="109"/>
      <w:bookmarkEnd w:id="110"/>
    </w:p>
    <w:p w14:paraId="0C6B40AE">
      <w:pPr>
        <w:overflowPunct w:val="0"/>
        <w:spacing w:line="560" w:lineRule="exact"/>
        <w:ind w:firstLine="560" w:firstLineChars="200"/>
        <w:rPr>
          <w:rFonts w:eastAsia="仿宋_GB2312"/>
        </w:rPr>
      </w:pPr>
      <w:r>
        <w:rPr>
          <w:rFonts w:eastAsia="仿宋_GB2312"/>
          <w:sz w:val="28"/>
          <w:szCs w:val="28"/>
        </w:rPr>
        <w:t>结合“六五环境日”“5·22国际生物多样性日”“爱鸟周”“野生动物保护宣传月”“全国生态日”等主题日活动，推动生物多样性保护进课堂、进社区、进机关，并利用网络、电视、电台等主流媒体普及生物多样性知识和重大项目成果，加大对生物安全、野生动植物保护、长江大保护等相关法律法规和生物多样性保护典型案例的宣传力度，提高公众对生物多样性保护重要性的认识，调动广大民众的生物多样性保护自觉性和积极性。</w:t>
      </w:r>
    </w:p>
    <w:p w14:paraId="6C0A4B58">
      <w:pPr>
        <w:spacing w:before="100" w:beforeAutospacing="1" w:after="100" w:afterAutospacing="1" w:line="360" w:lineRule="auto"/>
        <w:outlineLvl w:val="0"/>
        <w:rPr>
          <w:rFonts w:eastAsia="仿宋_GB2312"/>
          <w:b/>
          <w:sz w:val="28"/>
          <w:szCs w:val="28"/>
        </w:rPr>
        <w:sectPr>
          <w:pgSz w:w="11906" w:h="16838"/>
          <w:pgMar w:top="1440" w:right="1800" w:bottom="1440" w:left="1800" w:header="851" w:footer="992" w:gutter="0"/>
          <w:cols w:space="425" w:num="1"/>
          <w:docGrid w:type="lines" w:linePitch="312" w:charSpace="0"/>
        </w:sectPr>
      </w:pPr>
    </w:p>
    <w:p w14:paraId="74F89292">
      <w:pPr>
        <w:spacing w:line="360" w:lineRule="auto"/>
        <w:outlineLvl w:val="0"/>
        <w:rPr>
          <w:rFonts w:eastAsia="仿宋_GB2312"/>
          <w:b/>
          <w:bCs/>
          <w:kern w:val="44"/>
          <w:sz w:val="32"/>
          <w:szCs w:val="44"/>
        </w:rPr>
      </w:pPr>
      <w:bookmarkStart w:id="111" w:name="_Toc7174"/>
      <w:bookmarkStart w:id="112" w:name="_Toc3742"/>
      <w:r>
        <w:rPr>
          <w:rFonts w:eastAsia="仿宋_GB2312"/>
          <w:b/>
          <w:sz w:val="28"/>
          <w:szCs w:val="28"/>
        </w:rPr>
        <w:t>附录1 重点项目清单</w:t>
      </w:r>
      <w:bookmarkEnd w:id="111"/>
      <w:bookmarkEnd w:id="112"/>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496"/>
        <w:gridCol w:w="133"/>
        <w:gridCol w:w="5793"/>
        <w:gridCol w:w="1756"/>
        <w:gridCol w:w="1377"/>
        <w:gridCol w:w="2062"/>
      </w:tblGrid>
      <w:tr w14:paraId="1D83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93" w:type="pct"/>
            <w:shd w:val="clear" w:color="auto" w:fill="B4D5EC"/>
            <w:vAlign w:val="center"/>
          </w:tcPr>
          <w:p w14:paraId="5E4853E8">
            <w:pPr>
              <w:jc w:val="center"/>
              <w:textAlignment w:val="center"/>
              <w:rPr>
                <w:rFonts w:eastAsia="仿宋_GB2312"/>
                <w:b/>
                <w:bCs/>
              </w:rPr>
            </w:pPr>
            <w:r>
              <w:rPr>
                <w:rStyle w:val="25"/>
                <w:rFonts w:hint="default" w:ascii="Times New Roman" w:cs="Times New Roman"/>
                <w:b/>
                <w:bCs/>
                <w:color w:val="auto"/>
                <w:sz w:val="24"/>
                <w:szCs w:val="24"/>
                <w:lang w:bidi="ar"/>
              </w:rPr>
              <w:t>编号</w:t>
            </w:r>
          </w:p>
        </w:tc>
        <w:tc>
          <w:tcPr>
            <w:tcW w:w="928" w:type="pct"/>
            <w:gridSpan w:val="2"/>
            <w:shd w:val="clear" w:color="auto" w:fill="B4D5EC"/>
            <w:vAlign w:val="center"/>
          </w:tcPr>
          <w:p w14:paraId="5DF42920">
            <w:pPr>
              <w:jc w:val="both"/>
              <w:textAlignment w:val="center"/>
              <w:rPr>
                <w:rFonts w:eastAsia="仿宋_GB2312"/>
                <w:b/>
                <w:bCs/>
              </w:rPr>
            </w:pPr>
            <w:r>
              <w:rPr>
                <w:rStyle w:val="25"/>
                <w:rFonts w:hint="default" w:ascii="Times New Roman" w:cs="Times New Roman"/>
                <w:b/>
                <w:bCs/>
                <w:color w:val="auto"/>
                <w:sz w:val="24"/>
                <w:szCs w:val="24"/>
                <w:lang w:bidi="ar"/>
              </w:rPr>
              <w:t>项目名称</w:t>
            </w:r>
          </w:p>
        </w:tc>
        <w:tc>
          <w:tcPr>
            <w:tcW w:w="2045" w:type="pct"/>
            <w:shd w:val="clear" w:color="auto" w:fill="B4D5EC"/>
            <w:vAlign w:val="center"/>
          </w:tcPr>
          <w:p w14:paraId="26CF2DF8">
            <w:pPr>
              <w:jc w:val="both"/>
              <w:textAlignment w:val="center"/>
              <w:rPr>
                <w:rFonts w:eastAsia="仿宋_GB2312"/>
                <w:b/>
                <w:bCs/>
              </w:rPr>
            </w:pPr>
            <w:r>
              <w:rPr>
                <w:rStyle w:val="25"/>
                <w:rFonts w:hint="default" w:ascii="Times New Roman" w:cs="Times New Roman"/>
                <w:b/>
                <w:bCs/>
                <w:color w:val="auto"/>
                <w:sz w:val="24"/>
                <w:szCs w:val="24"/>
                <w:lang w:bidi="ar"/>
              </w:rPr>
              <w:t>项目内容</w:t>
            </w:r>
          </w:p>
        </w:tc>
        <w:tc>
          <w:tcPr>
            <w:tcW w:w="620" w:type="pct"/>
            <w:shd w:val="clear" w:color="auto" w:fill="B4D5EC"/>
            <w:vAlign w:val="center"/>
          </w:tcPr>
          <w:p w14:paraId="0828018A">
            <w:pPr>
              <w:jc w:val="both"/>
              <w:textAlignment w:val="center"/>
              <w:rPr>
                <w:rFonts w:eastAsia="仿宋_GB2312"/>
                <w:b/>
                <w:bCs/>
              </w:rPr>
            </w:pPr>
            <w:r>
              <w:rPr>
                <w:rStyle w:val="25"/>
                <w:rFonts w:hint="default" w:ascii="Times New Roman" w:cs="Times New Roman"/>
                <w:b/>
                <w:bCs/>
                <w:color w:val="auto"/>
                <w:sz w:val="24"/>
                <w:szCs w:val="24"/>
                <w:lang w:bidi="ar"/>
              </w:rPr>
              <w:t>实施期限</w:t>
            </w:r>
          </w:p>
        </w:tc>
        <w:tc>
          <w:tcPr>
            <w:tcW w:w="486" w:type="pct"/>
            <w:shd w:val="clear" w:color="auto" w:fill="B4D5EC"/>
            <w:vAlign w:val="center"/>
          </w:tcPr>
          <w:p w14:paraId="657352A8">
            <w:pPr>
              <w:jc w:val="both"/>
              <w:textAlignment w:val="center"/>
              <w:rPr>
                <w:rStyle w:val="25"/>
                <w:rFonts w:hint="default" w:ascii="Times New Roman" w:cs="Times New Roman"/>
                <w:b/>
                <w:bCs/>
                <w:color w:val="auto"/>
                <w:sz w:val="24"/>
                <w:szCs w:val="24"/>
                <w:lang w:bidi="ar"/>
              </w:rPr>
            </w:pPr>
            <w:r>
              <w:rPr>
                <w:rStyle w:val="25"/>
                <w:rFonts w:hint="default" w:ascii="Times New Roman" w:cs="Times New Roman"/>
                <w:b/>
                <w:bCs/>
                <w:color w:val="auto"/>
                <w:sz w:val="24"/>
                <w:szCs w:val="24"/>
                <w:lang w:bidi="ar"/>
              </w:rPr>
              <w:t>投资估算（万元）</w:t>
            </w:r>
          </w:p>
        </w:tc>
        <w:tc>
          <w:tcPr>
            <w:tcW w:w="728" w:type="pct"/>
            <w:shd w:val="clear" w:color="auto" w:fill="B4D5EC"/>
            <w:vAlign w:val="center"/>
          </w:tcPr>
          <w:p w14:paraId="6A79BA26">
            <w:pPr>
              <w:jc w:val="both"/>
              <w:textAlignment w:val="center"/>
              <w:rPr>
                <w:rFonts w:eastAsia="仿宋_GB2312"/>
                <w:b/>
                <w:bCs/>
              </w:rPr>
            </w:pPr>
            <w:r>
              <w:rPr>
                <w:rStyle w:val="25"/>
                <w:rFonts w:hint="default" w:ascii="Times New Roman" w:cs="Times New Roman"/>
                <w:b/>
                <w:bCs/>
                <w:color w:val="auto"/>
                <w:sz w:val="24"/>
                <w:szCs w:val="24"/>
                <w:lang w:bidi="ar"/>
              </w:rPr>
              <w:t>牵头部门</w:t>
            </w:r>
          </w:p>
        </w:tc>
      </w:tr>
      <w:tr w14:paraId="3D5A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shd w:val="clear" w:color="auto" w:fill="BBD4E6"/>
            <w:vAlign w:val="center"/>
          </w:tcPr>
          <w:p w14:paraId="7672EE0F">
            <w:pPr>
              <w:textAlignment w:val="center"/>
              <w:rPr>
                <w:rFonts w:eastAsia="仿宋_GB2312"/>
              </w:rPr>
            </w:pPr>
            <w:r>
              <w:rPr>
                <w:rFonts w:eastAsia="仿宋_GB2312"/>
                <w:b/>
                <w:bCs/>
                <w:lang w:bidi="ar"/>
              </w:rPr>
              <w:t>（一）生物多样性保护项目</w:t>
            </w:r>
          </w:p>
        </w:tc>
      </w:tr>
      <w:tr w14:paraId="7879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05948C31">
            <w:pPr>
              <w:jc w:val="center"/>
              <w:textAlignment w:val="center"/>
              <w:rPr>
                <w:rFonts w:eastAsia="仿宋_GB2312"/>
              </w:rPr>
            </w:pPr>
            <w:r>
              <w:rPr>
                <w:rFonts w:eastAsia="仿宋_GB2312"/>
                <w:lang w:bidi="ar"/>
              </w:rPr>
              <w:t>1</w:t>
            </w:r>
          </w:p>
        </w:tc>
        <w:tc>
          <w:tcPr>
            <w:tcW w:w="928" w:type="pct"/>
            <w:gridSpan w:val="2"/>
            <w:shd w:val="clear" w:color="auto" w:fill="auto"/>
            <w:vAlign w:val="center"/>
          </w:tcPr>
          <w:p w14:paraId="64DD58FB">
            <w:pPr>
              <w:jc w:val="both"/>
              <w:textAlignment w:val="center"/>
              <w:rPr>
                <w:rFonts w:eastAsia="仿宋_GB2312"/>
              </w:rPr>
            </w:pPr>
            <w:r>
              <w:rPr>
                <w:rFonts w:eastAsia="仿宋_GB2312"/>
              </w:rPr>
              <w:t>长江江豚立体式监测体系建设</w:t>
            </w:r>
          </w:p>
        </w:tc>
        <w:tc>
          <w:tcPr>
            <w:tcW w:w="2045" w:type="pct"/>
            <w:shd w:val="clear" w:color="auto" w:fill="auto"/>
            <w:vAlign w:val="center"/>
          </w:tcPr>
          <w:p w14:paraId="4F7A4F9E">
            <w:pPr>
              <w:jc w:val="both"/>
              <w:textAlignment w:val="center"/>
              <w:rPr>
                <w:rFonts w:eastAsia="仿宋_GB2312"/>
              </w:rPr>
            </w:pPr>
            <w:r>
              <w:rPr>
                <w:rFonts w:eastAsia="仿宋_GB2312"/>
              </w:rPr>
              <w:t>运用多种监测调查手段，构建长江江豚立体式监测体系，对长江江豚种群和栖息地动态变化进行长期监测。</w:t>
            </w:r>
          </w:p>
        </w:tc>
        <w:tc>
          <w:tcPr>
            <w:tcW w:w="620" w:type="pct"/>
            <w:shd w:val="clear" w:color="auto" w:fill="auto"/>
            <w:vAlign w:val="center"/>
          </w:tcPr>
          <w:p w14:paraId="2338DB98">
            <w:pPr>
              <w:jc w:val="both"/>
              <w:textAlignment w:val="center"/>
              <w:rPr>
                <w:rFonts w:eastAsia="仿宋_GB2312"/>
              </w:rPr>
            </w:pPr>
            <w:r>
              <w:rPr>
                <w:rFonts w:eastAsia="仿宋_GB2312"/>
              </w:rPr>
              <w:t>2024—2026年</w:t>
            </w:r>
          </w:p>
        </w:tc>
        <w:tc>
          <w:tcPr>
            <w:tcW w:w="486" w:type="pct"/>
            <w:shd w:val="clear" w:color="auto" w:fill="auto"/>
            <w:vAlign w:val="center"/>
          </w:tcPr>
          <w:p w14:paraId="15B2A780">
            <w:pPr>
              <w:jc w:val="both"/>
              <w:textAlignment w:val="center"/>
              <w:rPr>
                <w:rFonts w:eastAsia="仿宋_GB2312"/>
              </w:rPr>
            </w:pPr>
            <w:r>
              <w:rPr>
                <w:rFonts w:hint="eastAsia" w:eastAsia="仿宋_GB2312"/>
              </w:rPr>
              <w:t>400</w:t>
            </w:r>
          </w:p>
        </w:tc>
        <w:tc>
          <w:tcPr>
            <w:tcW w:w="728" w:type="pct"/>
            <w:shd w:val="clear" w:color="auto" w:fill="auto"/>
            <w:vAlign w:val="center"/>
          </w:tcPr>
          <w:p w14:paraId="60520FBF">
            <w:pPr>
              <w:jc w:val="both"/>
              <w:textAlignment w:val="center"/>
              <w:rPr>
                <w:rFonts w:eastAsia="仿宋_GB2312"/>
              </w:rPr>
            </w:pPr>
            <w:r>
              <w:rPr>
                <w:rFonts w:eastAsia="仿宋_GB2312"/>
              </w:rPr>
              <w:t>生态环境局</w:t>
            </w:r>
          </w:p>
        </w:tc>
      </w:tr>
      <w:tr w14:paraId="0CBA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67D5E130">
            <w:pPr>
              <w:jc w:val="center"/>
              <w:textAlignment w:val="center"/>
              <w:rPr>
                <w:rFonts w:eastAsia="仿宋_GB2312"/>
                <w:lang w:bidi="ar"/>
              </w:rPr>
            </w:pPr>
            <w:r>
              <w:rPr>
                <w:rFonts w:eastAsia="仿宋_GB2312"/>
                <w:lang w:bidi="ar"/>
              </w:rPr>
              <w:t>2</w:t>
            </w:r>
          </w:p>
        </w:tc>
        <w:tc>
          <w:tcPr>
            <w:tcW w:w="928" w:type="pct"/>
            <w:gridSpan w:val="2"/>
            <w:shd w:val="clear" w:color="auto" w:fill="auto"/>
            <w:vAlign w:val="center"/>
          </w:tcPr>
          <w:p w14:paraId="5B341EF5">
            <w:pPr>
              <w:jc w:val="both"/>
              <w:textAlignment w:val="center"/>
              <w:rPr>
                <w:rFonts w:eastAsia="仿宋_GB2312"/>
              </w:rPr>
            </w:pPr>
            <w:r>
              <w:rPr>
                <w:rFonts w:eastAsia="仿宋_GB2312"/>
              </w:rPr>
              <w:t>马洲岛生物多样性观测站建设</w:t>
            </w:r>
          </w:p>
        </w:tc>
        <w:tc>
          <w:tcPr>
            <w:tcW w:w="2045" w:type="pct"/>
            <w:shd w:val="clear" w:color="auto" w:fill="auto"/>
            <w:vAlign w:val="center"/>
          </w:tcPr>
          <w:p w14:paraId="421F9CE7">
            <w:pPr>
              <w:jc w:val="both"/>
              <w:textAlignment w:val="center"/>
              <w:rPr>
                <w:rFonts w:eastAsia="仿宋_GB2312"/>
              </w:rPr>
            </w:pPr>
            <w:r>
              <w:rPr>
                <w:rFonts w:eastAsia="仿宋_GB2312"/>
              </w:rPr>
              <w:t>实施马洲岛生物多样性观测站优化提升工程，升级改造现有设施设备、实验仪器，加强珍稀濒危物种监测能力。</w:t>
            </w:r>
          </w:p>
        </w:tc>
        <w:tc>
          <w:tcPr>
            <w:tcW w:w="620" w:type="pct"/>
            <w:shd w:val="clear" w:color="auto" w:fill="auto"/>
            <w:vAlign w:val="center"/>
          </w:tcPr>
          <w:p w14:paraId="773E6DA6">
            <w:pPr>
              <w:jc w:val="both"/>
              <w:textAlignment w:val="center"/>
              <w:rPr>
                <w:rFonts w:eastAsia="仿宋_GB2312"/>
              </w:rPr>
            </w:pPr>
            <w:r>
              <w:rPr>
                <w:rFonts w:eastAsia="仿宋_GB2312"/>
              </w:rPr>
              <w:t>2024—2026年</w:t>
            </w:r>
          </w:p>
        </w:tc>
        <w:tc>
          <w:tcPr>
            <w:tcW w:w="486" w:type="pct"/>
            <w:shd w:val="clear" w:color="auto" w:fill="auto"/>
            <w:vAlign w:val="center"/>
          </w:tcPr>
          <w:p w14:paraId="08F547C5">
            <w:pPr>
              <w:jc w:val="both"/>
              <w:textAlignment w:val="center"/>
              <w:rPr>
                <w:rFonts w:eastAsia="仿宋_GB2312"/>
              </w:rPr>
            </w:pPr>
            <w:r>
              <w:rPr>
                <w:rFonts w:eastAsia="仿宋_GB2312"/>
              </w:rPr>
              <w:t>1200</w:t>
            </w:r>
          </w:p>
        </w:tc>
        <w:tc>
          <w:tcPr>
            <w:tcW w:w="728" w:type="pct"/>
            <w:shd w:val="clear" w:color="auto" w:fill="auto"/>
            <w:vAlign w:val="center"/>
          </w:tcPr>
          <w:p w14:paraId="6F6FD338">
            <w:pPr>
              <w:jc w:val="both"/>
              <w:textAlignment w:val="center"/>
              <w:rPr>
                <w:rFonts w:eastAsia="仿宋_GB2312"/>
              </w:rPr>
            </w:pPr>
            <w:r>
              <w:rPr>
                <w:rFonts w:eastAsia="仿宋_GB2312"/>
              </w:rPr>
              <w:t>生态环境局</w:t>
            </w:r>
          </w:p>
        </w:tc>
      </w:tr>
      <w:tr w14:paraId="1AA9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tcBorders>
              <w:bottom w:val="single" w:color="auto" w:sz="4" w:space="0"/>
            </w:tcBorders>
            <w:shd w:val="clear" w:color="auto" w:fill="auto"/>
            <w:vAlign w:val="center"/>
          </w:tcPr>
          <w:p w14:paraId="2E7E4698">
            <w:pPr>
              <w:jc w:val="center"/>
              <w:textAlignment w:val="center"/>
              <w:rPr>
                <w:rFonts w:eastAsia="仿宋_GB2312"/>
                <w:lang w:bidi="ar"/>
              </w:rPr>
            </w:pPr>
            <w:r>
              <w:rPr>
                <w:rFonts w:hint="eastAsia" w:eastAsia="仿宋_GB2312"/>
                <w:lang w:bidi="ar"/>
              </w:rPr>
              <w:t>3</w:t>
            </w:r>
          </w:p>
        </w:tc>
        <w:tc>
          <w:tcPr>
            <w:tcW w:w="928" w:type="pct"/>
            <w:gridSpan w:val="2"/>
            <w:tcBorders>
              <w:bottom w:val="single" w:color="auto" w:sz="4" w:space="0"/>
            </w:tcBorders>
            <w:shd w:val="clear" w:color="auto" w:fill="auto"/>
            <w:vAlign w:val="center"/>
          </w:tcPr>
          <w:p w14:paraId="3FF972E8">
            <w:pPr>
              <w:jc w:val="both"/>
              <w:textAlignment w:val="center"/>
              <w:rPr>
                <w:rFonts w:eastAsia="仿宋_GB2312"/>
              </w:rPr>
            </w:pPr>
            <w:r>
              <w:rPr>
                <w:rFonts w:eastAsia="仿宋_GB2312"/>
              </w:rPr>
              <w:t>生物多样性调查</w:t>
            </w:r>
          </w:p>
        </w:tc>
        <w:tc>
          <w:tcPr>
            <w:tcW w:w="2045" w:type="pct"/>
            <w:tcBorders>
              <w:bottom w:val="single" w:color="auto" w:sz="4" w:space="0"/>
            </w:tcBorders>
            <w:shd w:val="clear" w:color="auto" w:fill="auto"/>
            <w:vAlign w:val="center"/>
          </w:tcPr>
          <w:p w14:paraId="64BF996C">
            <w:pPr>
              <w:jc w:val="both"/>
              <w:textAlignment w:val="center"/>
              <w:rPr>
                <w:rFonts w:eastAsia="仿宋_GB2312"/>
              </w:rPr>
            </w:pPr>
            <w:r>
              <w:rPr>
                <w:rFonts w:eastAsia="仿宋_GB2312"/>
              </w:rPr>
              <w:t>构建生物多样性调查技术体系，衔接各类生物资源调查工作，每5年完成一次生物多样性本底调查，每2年完成一次生物多样性专项调查。</w:t>
            </w:r>
          </w:p>
        </w:tc>
        <w:tc>
          <w:tcPr>
            <w:tcW w:w="620" w:type="pct"/>
            <w:tcBorders>
              <w:bottom w:val="single" w:color="auto" w:sz="4" w:space="0"/>
            </w:tcBorders>
            <w:shd w:val="clear" w:color="auto" w:fill="auto"/>
            <w:vAlign w:val="center"/>
          </w:tcPr>
          <w:p w14:paraId="54812B1F">
            <w:pPr>
              <w:jc w:val="both"/>
              <w:textAlignment w:val="center"/>
              <w:rPr>
                <w:rFonts w:eastAsia="仿宋_GB2312"/>
              </w:rPr>
            </w:pPr>
            <w:r>
              <w:rPr>
                <w:rFonts w:eastAsia="仿宋_GB2312"/>
              </w:rPr>
              <w:t>2024—2035年</w:t>
            </w:r>
          </w:p>
        </w:tc>
        <w:tc>
          <w:tcPr>
            <w:tcW w:w="486" w:type="pct"/>
            <w:tcBorders>
              <w:bottom w:val="single" w:color="auto" w:sz="4" w:space="0"/>
            </w:tcBorders>
            <w:shd w:val="clear" w:color="auto" w:fill="auto"/>
            <w:vAlign w:val="center"/>
          </w:tcPr>
          <w:p w14:paraId="67F5FA89">
            <w:pPr>
              <w:jc w:val="both"/>
              <w:textAlignment w:val="center"/>
              <w:rPr>
                <w:rFonts w:eastAsia="仿宋_GB2312"/>
              </w:rPr>
            </w:pPr>
            <w:r>
              <w:rPr>
                <w:rFonts w:eastAsia="仿宋_GB2312"/>
              </w:rPr>
              <w:t>200</w:t>
            </w:r>
          </w:p>
        </w:tc>
        <w:tc>
          <w:tcPr>
            <w:tcW w:w="728" w:type="pct"/>
            <w:tcBorders>
              <w:bottom w:val="single" w:color="auto" w:sz="4" w:space="0"/>
            </w:tcBorders>
            <w:shd w:val="clear" w:color="auto" w:fill="auto"/>
            <w:vAlign w:val="center"/>
          </w:tcPr>
          <w:p w14:paraId="39068B5C">
            <w:pPr>
              <w:jc w:val="both"/>
              <w:textAlignment w:val="center"/>
              <w:rPr>
                <w:rFonts w:eastAsia="仿宋_GB2312"/>
              </w:rPr>
            </w:pPr>
            <w:r>
              <w:rPr>
                <w:rFonts w:eastAsia="仿宋_GB2312"/>
              </w:rPr>
              <w:t>生态环境局</w:t>
            </w:r>
          </w:p>
        </w:tc>
      </w:tr>
      <w:tr w14:paraId="2993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14:paraId="66ED9331">
            <w:pPr>
              <w:jc w:val="center"/>
              <w:textAlignment w:val="center"/>
              <w:rPr>
                <w:rFonts w:eastAsia="仿宋_GB2312"/>
                <w:lang w:bidi="ar"/>
              </w:rPr>
            </w:pPr>
            <w:r>
              <w:rPr>
                <w:rFonts w:hint="eastAsia" w:eastAsia="仿宋_GB2312"/>
                <w:lang w:bidi="ar"/>
              </w:rPr>
              <w:t>4</w:t>
            </w:r>
          </w:p>
        </w:tc>
        <w:tc>
          <w:tcPr>
            <w:tcW w:w="92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C24551">
            <w:pPr>
              <w:jc w:val="both"/>
              <w:textAlignment w:val="center"/>
              <w:rPr>
                <w:rFonts w:eastAsia="仿宋_GB2312"/>
              </w:rPr>
            </w:pPr>
            <w:r>
              <w:rPr>
                <w:rFonts w:eastAsia="仿宋_GB2312"/>
              </w:rPr>
              <w:t>外来入侵物种调查、监测和预警</w:t>
            </w:r>
          </w:p>
        </w:tc>
        <w:tc>
          <w:tcPr>
            <w:tcW w:w="2045" w:type="pct"/>
            <w:tcBorders>
              <w:top w:val="single" w:color="auto" w:sz="4" w:space="0"/>
              <w:left w:val="single" w:color="auto" w:sz="4" w:space="0"/>
              <w:bottom w:val="single" w:color="auto" w:sz="4" w:space="0"/>
              <w:right w:val="single" w:color="auto" w:sz="4" w:space="0"/>
            </w:tcBorders>
            <w:shd w:val="clear" w:color="auto" w:fill="auto"/>
            <w:vAlign w:val="center"/>
          </w:tcPr>
          <w:p w14:paraId="569A12AB">
            <w:pPr>
              <w:jc w:val="both"/>
              <w:textAlignment w:val="center"/>
              <w:rPr>
                <w:rFonts w:eastAsia="仿宋_GB2312"/>
              </w:rPr>
            </w:pPr>
            <w:r>
              <w:rPr>
                <w:rFonts w:eastAsia="仿宋_GB2312"/>
              </w:rPr>
              <w:t>开展外来入侵物种普查，建立外来入侵物种数据库。在重点区域开展外来入侵物种长期监测点，编制重大有害生物及外来入侵突发事件应急预案，完善入侵物种预警和应急响应处置机制。</w:t>
            </w:r>
          </w:p>
        </w:tc>
        <w:tc>
          <w:tcPr>
            <w:tcW w:w="620" w:type="pct"/>
            <w:tcBorders>
              <w:top w:val="single" w:color="auto" w:sz="4" w:space="0"/>
              <w:left w:val="single" w:color="auto" w:sz="4" w:space="0"/>
              <w:bottom w:val="single" w:color="auto" w:sz="4" w:space="0"/>
              <w:right w:val="single" w:color="auto" w:sz="4" w:space="0"/>
            </w:tcBorders>
            <w:shd w:val="clear" w:color="auto" w:fill="auto"/>
            <w:vAlign w:val="center"/>
          </w:tcPr>
          <w:p w14:paraId="64AED623">
            <w:pPr>
              <w:jc w:val="both"/>
              <w:textAlignment w:val="center"/>
              <w:rPr>
                <w:rFonts w:eastAsia="仿宋_GB2312"/>
              </w:rPr>
            </w:pPr>
            <w:r>
              <w:rPr>
                <w:rFonts w:eastAsia="仿宋_GB2312"/>
              </w:rPr>
              <w:t>2024—2035年</w:t>
            </w: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14:paraId="68ECD48E">
            <w:pPr>
              <w:jc w:val="both"/>
              <w:textAlignment w:val="center"/>
              <w:rPr>
                <w:rFonts w:eastAsia="仿宋_GB2312"/>
              </w:rPr>
            </w:pPr>
            <w:r>
              <w:rPr>
                <w:rFonts w:eastAsia="仿宋_GB2312"/>
              </w:rPr>
              <w:t>200</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14:paraId="480AF9CD">
            <w:pPr>
              <w:jc w:val="both"/>
              <w:textAlignment w:val="center"/>
              <w:rPr>
                <w:rFonts w:eastAsia="仿宋_GB2312"/>
              </w:rPr>
            </w:pPr>
            <w:r>
              <w:rPr>
                <w:rFonts w:eastAsia="仿宋_GB2312"/>
              </w:rPr>
              <w:t>自然资源和规划局、农业农村局</w:t>
            </w:r>
          </w:p>
        </w:tc>
      </w:tr>
      <w:tr w14:paraId="6BFB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tcBorders>
              <w:top w:val="nil"/>
            </w:tcBorders>
            <w:shd w:val="clear" w:color="auto" w:fill="BBD4E6"/>
            <w:vAlign w:val="center"/>
          </w:tcPr>
          <w:p w14:paraId="138117F3">
            <w:pPr>
              <w:textAlignment w:val="center"/>
              <w:rPr>
                <w:rFonts w:eastAsia="仿宋_GB2312"/>
              </w:rPr>
            </w:pPr>
            <w:r>
              <w:rPr>
                <w:rFonts w:eastAsia="仿宋_GB2312"/>
                <w:b/>
                <w:bCs/>
                <w:lang w:bidi="ar"/>
              </w:rPr>
              <w:t>（二）生物多样性恢复项目</w:t>
            </w:r>
          </w:p>
        </w:tc>
      </w:tr>
      <w:tr w14:paraId="17FA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93" w:type="pct"/>
            <w:shd w:val="clear" w:color="auto" w:fill="auto"/>
            <w:vAlign w:val="center"/>
          </w:tcPr>
          <w:p w14:paraId="4898050E">
            <w:pPr>
              <w:jc w:val="center"/>
              <w:textAlignment w:val="center"/>
              <w:rPr>
                <w:rFonts w:eastAsia="仿宋_GB2312"/>
              </w:rPr>
            </w:pPr>
            <w:r>
              <w:rPr>
                <w:rFonts w:eastAsia="仿宋_GB2312"/>
                <w:lang w:bidi="ar"/>
              </w:rPr>
              <w:t>1</w:t>
            </w:r>
          </w:p>
        </w:tc>
        <w:tc>
          <w:tcPr>
            <w:tcW w:w="928" w:type="pct"/>
            <w:gridSpan w:val="2"/>
            <w:shd w:val="clear" w:color="auto" w:fill="auto"/>
            <w:vAlign w:val="center"/>
          </w:tcPr>
          <w:p w14:paraId="67F3DEC7">
            <w:pPr>
              <w:pStyle w:val="4"/>
              <w:ind w:left="0" w:firstLine="0"/>
              <w:rPr>
                <w:rFonts w:ascii="Times New Roman" w:hAnsi="Times New Roman" w:eastAsia="仿宋_GB2312"/>
              </w:rPr>
            </w:pPr>
            <w:r>
              <w:rPr>
                <w:rFonts w:ascii="Times New Roman" w:hAnsi="Times New Roman" w:eastAsia="仿宋_GB2312"/>
                <w:b w:val="0"/>
                <w:szCs w:val="24"/>
              </w:rPr>
              <w:t>靖江长江沿线山水林田湖草沙一体化保护和修复工程</w:t>
            </w:r>
          </w:p>
        </w:tc>
        <w:tc>
          <w:tcPr>
            <w:tcW w:w="2045" w:type="pct"/>
            <w:shd w:val="clear" w:color="auto" w:fill="auto"/>
            <w:vAlign w:val="center"/>
          </w:tcPr>
          <w:p w14:paraId="173201F1">
            <w:pPr>
              <w:jc w:val="both"/>
              <w:textAlignment w:val="center"/>
              <w:rPr>
                <w:rFonts w:eastAsia="仿宋_GB2312"/>
              </w:rPr>
            </w:pPr>
            <w:r>
              <w:rPr>
                <w:rFonts w:eastAsia="仿宋_GB2312"/>
              </w:rPr>
              <w:t>实施滨江湿地修复工程、通江河道岸线修复工程、沿江城镇生态保护修复工程、生物多样性保护工程，提升长江沿线山水林田湖草沙一体化保护和修复。</w:t>
            </w:r>
          </w:p>
        </w:tc>
        <w:tc>
          <w:tcPr>
            <w:tcW w:w="620" w:type="pct"/>
            <w:shd w:val="clear" w:color="auto" w:fill="auto"/>
            <w:vAlign w:val="center"/>
          </w:tcPr>
          <w:p w14:paraId="2E5F0CE7">
            <w:pPr>
              <w:jc w:val="both"/>
              <w:textAlignment w:val="center"/>
              <w:rPr>
                <w:rFonts w:eastAsia="仿宋_GB2312"/>
              </w:rPr>
            </w:pPr>
            <w:r>
              <w:rPr>
                <w:rFonts w:eastAsia="仿宋_GB2312"/>
              </w:rPr>
              <w:t>2024—2030年</w:t>
            </w:r>
          </w:p>
        </w:tc>
        <w:tc>
          <w:tcPr>
            <w:tcW w:w="486" w:type="pct"/>
            <w:shd w:val="clear" w:color="auto" w:fill="auto"/>
            <w:vAlign w:val="center"/>
          </w:tcPr>
          <w:p w14:paraId="671324E0">
            <w:pPr>
              <w:jc w:val="both"/>
              <w:textAlignment w:val="center"/>
              <w:rPr>
                <w:rFonts w:eastAsia="仿宋_GB2312"/>
              </w:rPr>
            </w:pPr>
            <w:r>
              <w:rPr>
                <w:rFonts w:eastAsia="仿宋_GB2312"/>
              </w:rPr>
              <w:t>21066.8</w:t>
            </w:r>
          </w:p>
        </w:tc>
        <w:tc>
          <w:tcPr>
            <w:tcW w:w="728" w:type="pct"/>
            <w:shd w:val="clear" w:color="auto" w:fill="auto"/>
            <w:vAlign w:val="center"/>
          </w:tcPr>
          <w:p w14:paraId="4EA727B2">
            <w:pPr>
              <w:jc w:val="both"/>
              <w:textAlignment w:val="center"/>
              <w:rPr>
                <w:rFonts w:eastAsia="仿宋_GB2312"/>
              </w:rPr>
            </w:pPr>
            <w:r>
              <w:rPr>
                <w:rFonts w:eastAsia="仿宋_GB2312"/>
              </w:rPr>
              <w:t>自然资源和规划局</w:t>
            </w:r>
          </w:p>
        </w:tc>
      </w:tr>
      <w:tr w14:paraId="3A55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21348C92">
            <w:pPr>
              <w:jc w:val="center"/>
              <w:textAlignment w:val="center"/>
              <w:rPr>
                <w:rFonts w:eastAsia="仿宋_GB2312"/>
              </w:rPr>
            </w:pPr>
            <w:r>
              <w:rPr>
                <w:rFonts w:eastAsia="仿宋_GB2312"/>
                <w:lang w:bidi="ar"/>
              </w:rPr>
              <w:t>2</w:t>
            </w:r>
          </w:p>
        </w:tc>
        <w:tc>
          <w:tcPr>
            <w:tcW w:w="928" w:type="pct"/>
            <w:gridSpan w:val="2"/>
            <w:shd w:val="clear" w:color="auto" w:fill="auto"/>
            <w:vAlign w:val="center"/>
          </w:tcPr>
          <w:p w14:paraId="4E6567AA">
            <w:pPr>
              <w:jc w:val="both"/>
              <w:textAlignment w:val="center"/>
              <w:rPr>
                <w:rFonts w:eastAsia="仿宋_GB2312"/>
              </w:rPr>
            </w:pPr>
            <w:r>
              <w:rPr>
                <w:rFonts w:eastAsia="仿宋_GB2312"/>
              </w:rPr>
              <w:t>长江防护生态屏障建设工程</w:t>
            </w:r>
          </w:p>
        </w:tc>
        <w:tc>
          <w:tcPr>
            <w:tcW w:w="2045" w:type="pct"/>
            <w:shd w:val="clear" w:color="auto" w:fill="auto"/>
            <w:vAlign w:val="center"/>
          </w:tcPr>
          <w:p w14:paraId="30434C35">
            <w:pPr>
              <w:jc w:val="both"/>
              <w:textAlignment w:val="center"/>
              <w:rPr>
                <w:rFonts w:eastAsia="仿宋_GB2312"/>
              </w:rPr>
            </w:pPr>
            <w:r>
              <w:rPr>
                <w:rFonts w:eastAsia="仿宋_GB2312"/>
              </w:rPr>
              <w:t>通过沿岸林地“天窗”修复、重要湿地修复、裸露地绿化美化、景观美化改造生态修复工程，加强沿岸防护和水源涵养林带和网络建设。周期性开展长江江豚等保护动物数量分布调查，科学评估生物栖息地破碎化状况。</w:t>
            </w:r>
          </w:p>
        </w:tc>
        <w:tc>
          <w:tcPr>
            <w:tcW w:w="620" w:type="pct"/>
            <w:shd w:val="clear" w:color="auto" w:fill="auto"/>
            <w:vAlign w:val="center"/>
          </w:tcPr>
          <w:p w14:paraId="4B8EA71E">
            <w:pPr>
              <w:jc w:val="both"/>
              <w:textAlignment w:val="center"/>
              <w:rPr>
                <w:rFonts w:eastAsia="仿宋_GB2312"/>
              </w:rPr>
            </w:pPr>
            <w:r>
              <w:rPr>
                <w:rFonts w:eastAsia="仿宋_GB2312"/>
              </w:rPr>
              <w:t>2024—2025年</w:t>
            </w:r>
          </w:p>
        </w:tc>
        <w:tc>
          <w:tcPr>
            <w:tcW w:w="486" w:type="pct"/>
            <w:shd w:val="clear" w:color="auto" w:fill="auto"/>
            <w:vAlign w:val="center"/>
          </w:tcPr>
          <w:p w14:paraId="72EE4EF7">
            <w:pPr>
              <w:jc w:val="both"/>
              <w:textAlignment w:val="center"/>
              <w:rPr>
                <w:rFonts w:eastAsia="仿宋_GB2312"/>
              </w:rPr>
            </w:pPr>
            <w:r>
              <w:rPr>
                <w:rFonts w:eastAsia="仿宋_GB2312"/>
              </w:rPr>
              <w:t>20000</w:t>
            </w:r>
          </w:p>
        </w:tc>
        <w:tc>
          <w:tcPr>
            <w:tcW w:w="728" w:type="pct"/>
            <w:shd w:val="clear" w:color="auto" w:fill="auto"/>
            <w:vAlign w:val="center"/>
          </w:tcPr>
          <w:p w14:paraId="2BBEA3F1">
            <w:pPr>
              <w:jc w:val="both"/>
              <w:textAlignment w:val="center"/>
              <w:rPr>
                <w:rFonts w:eastAsia="仿宋_GB2312"/>
              </w:rPr>
            </w:pPr>
            <w:r>
              <w:rPr>
                <w:rFonts w:eastAsia="仿宋_GB2312"/>
              </w:rPr>
              <w:t>自然资源和规划局、生态环境局</w:t>
            </w:r>
          </w:p>
        </w:tc>
      </w:tr>
      <w:tr w14:paraId="0F24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754CBCF0">
            <w:pPr>
              <w:jc w:val="center"/>
              <w:textAlignment w:val="center"/>
              <w:rPr>
                <w:rFonts w:eastAsia="仿宋_GB2312"/>
              </w:rPr>
            </w:pPr>
            <w:r>
              <w:rPr>
                <w:rFonts w:eastAsia="仿宋_GB2312"/>
              </w:rPr>
              <w:t>3</w:t>
            </w:r>
          </w:p>
        </w:tc>
        <w:tc>
          <w:tcPr>
            <w:tcW w:w="928" w:type="pct"/>
            <w:gridSpan w:val="2"/>
            <w:shd w:val="clear" w:color="auto" w:fill="auto"/>
            <w:vAlign w:val="center"/>
          </w:tcPr>
          <w:p w14:paraId="549B093A">
            <w:pPr>
              <w:jc w:val="both"/>
              <w:textAlignment w:val="center"/>
              <w:rPr>
                <w:rFonts w:eastAsia="仿宋_GB2312"/>
              </w:rPr>
            </w:pPr>
            <w:r>
              <w:rPr>
                <w:rFonts w:eastAsia="仿宋_GB2312"/>
              </w:rPr>
              <w:t>湿地保护修复项目</w:t>
            </w:r>
          </w:p>
        </w:tc>
        <w:tc>
          <w:tcPr>
            <w:tcW w:w="2045" w:type="pct"/>
            <w:shd w:val="clear" w:color="auto" w:fill="auto"/>
            <w:vAlign w:val="center"/>
          </w:tcPr>
          <w:p w14:paraId="0E5A175E">
            <w:pPr>
              <w:jc w:val="both"/>
              <w:textAlignment w:val="center"/>
              <w:rPr>
                <w:rFonts w:eastAsia="仿宋_GB2312"/>
              </w:rPr>
            </w:pPr>
            <w:r>
              <w:rPr>
                <w:rFonts w:eastAsia="仿宋_GB2312"/>
              </w:rPr>
              <w:t>通过植被恢复、动植物栖息地恢复、生态廊道建设、湿地生态系统的修复和综合整治等手段，逐步恢复湿地生态系统功能，严格禁止各类开发建设活动占用或破坏湿地，保持滩涂、芦苇荡等原生态风貌，维持岸线自然属性。</w:t>
            </w:r>
          </w:p>
        </w:tc>
        <w:tc>
          <w:tcPr>
            <w:tcW w:w="620" w:type="pct"/>
            <w:shd w:val="clear" w:color="auto" w:fill="auto"/>
            <w:vAlign w:val="center"/>
          </w:tcPr>
          <w:p w14:paraId="57723EBA">
            <w:pPr>
              <w:jc w:val="both"/>
              <w:textAlignment w:val="center"/>
              <w:rPr>
                <w:rFonts w:eastAsia="仿宋_GB2312"/>
              </w:rPr>
            </w:pPr>
            <w:r>
              <w:rPr>
                <w:rFonts w:eastAsia="仿宋_GB2312"/>
              </w:rPr>
              <w:t>2024—2035年</w:t>
            </w:r>
          </w:p>
        </w:tc>
        <w:tc>
          <w:tcPr>
            <w:tcW w:w="486" w:type="pct"/>
            <w:shd w:val="clear" w:color="auto" w:fill="auto"/>
            <w:vAlign w:val="center"/>
          </w:tcPr>
          <w:p w14:paraId="31277637">
            <w:pPr>
              <w:jc w:val="both"/>
              <w:textAlignment w:val="center"/>
              <w:rPr>
                <w:rFonts w:eastAsia="仿宋_GB2312"/>
              </w:rPr>
            </w:pPr>
            <w:r>
              <w:rPr>
                <w:rFonts w:eastAsia="仿宋_GB2312"/>
              </w:rPr>
              <w:t>80000</w:t>
            </w:r>
          </w:p>
        </w:tc>
        <w:tc>
          <w:tcPr>
            <w:tcW w:w="728" w:type="pct"/>
            <w:shd w:val="clear" w:color="auto" w:fill="auto"/>
            <w:vAlign w:val="center"/>
          </w:tcPr>
          <w:p w14:paraId="2CB90C35">
            <w:pPr>
              <w:jc w:val="both"/>
              <w:textAlignment w:val="center"/>
              <w:rPr>
                <w:rFonts w:eastAsia="仿宋_GB2312"/>
              </w:rPr>
            </w:pPr>
            <w:r>
              <w:rPr>
                <w:rFonts w:eastAsia="仿宋_GB2312"/>
              </w:rPr>
              <w:t>靖江市生态环境局</w:t>
            </w:r>
          </w:p>
        </w:tc>
      </w:tr>
      <w:tr w14:paraId="5FAB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2383055A">
            <w:pPr>
              <w:jc w:val="center"/>
              <w:textAlignment w:val="center"/>
              <w:rPr>
                <w:rFonts w:eastAsia="仿宋_GB2312"/>
              </w:rPr>
            </w:pPr>
            <w:r>
              <w:rPr>
                <w:rFonts w:eastAsia="仿宋_GB2312"/>
                <w:lang w:bidi="ar"/>
              </w:rPr>
              <w:t>4</w:t>
            </w:r>
          </w:p>
        </w:tc>
        <w:tc>
          <w:tcPr>
            <w:tcW w:w="928" w:type="pct"/>
            <w:gridSpan w:val="2"/>
            <w:shd w:val="clear" w:color="auto" w:fill="auto"/>
            <w:vAlign w:val="center"/>
          </w:tcPr>
          <w:p w14:paraId="0982F565">
            <w:pPr>
              <w:jc w:val="both"/>
              <w:textAlignment w:val="center"/>
              <w:rPr>
                <w:rFonts w:eastAsia="仿宋_GB2312"/>
              </w:rPr>
            </w:pPr>
            <w:r>
              <w:rPr>
                <w:rFonts w:eastAsia="仿宋_GB2312"/>
              </w:rPr>
              <w:t>夏仕港生态涵养区建设</w:t>
            </w:r>
          </w:p>
        </w:tc>
        <w:tc>
          <w:tcPr>
            <w:tcW w:w="2045" w:type="pct"/>
            <w:shd w:val="clear" w:color="auto" w:fill="auto"/>
            <w:vAlign w:val="center"/>
          </w:tcPr>
          <w:p w14:paraId="14229E56">
            <w:pPr>
              <w:jc w:val="both"/>
              <w:textAlignment w:val="center"/>
              <w:rPr>
                <w:rFonts w:eastAsia="仿宋_GB2312"/>
              </w:rPr>
            </w:pPr>
            <w:r>
              <w:rPr>
                <w:rFonts w:eastAsia="仿宋_GB2312"/>
              </w:rPr>
              <w:t>紧扣“幸福河湖”目标，高起点规划沿线生态景观节点建设，增加夏仕港清水通道连通性和流动性，适当营造河滨缓冲区，提升其生态涵养功能。</w:t>
            </w:r>
          </w:p>
        </w:tc>
        <w:tc>
          <w:tcPr>
            <w:tcW w:w="620" w:type="pct"/>
            <w:shd w:val="clear" w:color="auto" w:fill="auto"/>
            <w:vAlign w:val="center"/>
          </w:tcPr>
          <w:p w14:paraId="3F7E81E5">
            <w:pPr>
              <w:jc w:val="both"/>
              <w:textAlignment w:val="center"/>
              <w:rPr>
                <w:rFonts w:eastAsia="仿宋_GB2312"/>
              </w:rPr>
            </w:pPr>
            <w:r>
              <w:rPr>
                <w:rFonts w:eastAsia="仿宋_GB2312"/>
              </w:rPr>
              <w:t>2024—2035年</w:t>
            </w:r>
          </w:p>
        </w:tc>
        <w:tc>
          <w:tcPr>
            <w:tcW w:w="486" w:type="pct"/>
            <w:shd w:val="clear" w:color="auto" w:fill="auto"/>
            <w:vAlign w:val="center"/>
          </w:tcPr>
          <w:p w14:paraId="15AA566B">
            <w:pPr>
              <w:jc w:val="both"/>
              <w:textAlignment w:val="center"/>
              <w:rPr>
                <w:rFonts w:eastAsia="仿宋_GB2312"/>
              </w:rPr>
            </w:pPr>
            <w:r>
              <w:rPr>
                <w:rFonts w:eastAsia="仿宋_GB2312"/>
              </w:rPr>
              <w:t>50000</w:t>
            </w:r>
          </w:p>
        </w:tc>
        <w:tc>
          <w:tcPr>
            <w:tcW w:w="728" w:type="pct"/>
            <w:shd w:val="clear" w:color="auto" w:fill="auto"/>
            <w:vAlign w:val="center"/>
          </w:tcPr>
          <w:p w14:paraId="0296D85B">
            <w:pPr>
              <w:jc w:val="both"/>
              <w:textAlignment w:val="center"/>
              <w:rPr>
                <w:rFonts w:eastAsia="仿宋_GB2312"/>
              </w:rPr>
            </w:pPr>
            <w:r>
              <w:rPr>
                <w:rFonts w:eastAsia="仿宋_GB2312"/>
              </w:rPr>
              <w:t>生态环境局</w:t>
            </w:r>
          </w:p>
        </w:tc>
      </w:tr>
      <w:tr w14:paraId="641D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1202A0AB">
            <w:pPr>
              <w:jc w:val="center"/>
              <w:textAlignment w:val="center"/>
              <w:rPr>
                <w:rFonts w:eastAsia="仿宋_GB2312"/>
                <w:lang w:bidi="ar"/>
              </w:rPr>
            </w:pPr>
            <w:r>
              <w:rPr>
                <w:rFonts w:eastAsia="仿宋_GB2312"/>
                <w:lang w:bidi="ar"/>
              </w:rPr>
              <w:t>5</w:t>
            </w:r>
          </w:p>
        </w:tc>
        <w:tc>
          <w:tcPr>
            <w:tcW w:w="928" w:type="pct"/>
            <w:gridSpan w:val="2"/>
            <w:shd w:val="clear" w:color="auto" w:fill="auto"/>
            <w:vAlign w:val="center"/>
          </w:tcPr>
          <w:p w14:paraId="450FD8DD">
            <w:pPr>
              <w:jc w:val="both"/>
              <w:textAlignment w:val="center"/>
              <w:rPr>
                <w:rFonts w:eastAsia="仿宋_GB2312"/>
              </w:rPr>
            </w:pPr>
            <w:r>
              <w:rPr>
                <w:rFonts w:eastAsia="仿宋_GB2312"/>
              </w:rPr>
              <w:t>马洲岛高潮位鸟类栖息地建设工程</w:t>
            </w:r>
          </w:p>
        </w:tc>
        <w:tc>
          <w:tcPr>
            <w:tcW w:w="2045" w:type="pct"/>
            <w:shd w:val="clear" w:color="auto" w:fill="auto"/>
            <w:vAlign w:val="center"/>
          </w:tcPr>
          <w:p w14:paraId="5ECC44D3">
            <w:pPr>
              <w:jc w:val="both"/>
              <w:textAlignment w:val="center"/>
              <w:rPr>
                <w:rFonts w:eastAsia="仿宋_GB2312"/>
              </w:rPr>
            </w:pPr>
            <w:r>
              <w:rPr>
                <w:rFonts w:eastAsia="仿宋_GB2312"/>
              </w:rPr>
              <w:t>基于湿地生态系统定位观测站建设，打造长三角生物多样性马洲岛高潮位鸟类栖息地建设工程。</w:t>
            </w:r>
          </w:p>
        </w:tc>
        <w:tc>
          <w:tcPr>
            <w:tcW w:w="620" w:type="pct"/>
            <w:shd w:val="clear" w:color="auto" w:fill="auto"/>
            <w:vAlign w:val="center"/>
          </w:tcPr>
          <w:p w14:paraId="01E54B64">
            <w:pPr>
              <w:jc w:val="both"/>
              <w:textAlignment w:val="center"/>
              <w:rPr>
                <w:rFonts w:eastAsia="仿宋_GB2312"/>
              </w:rPr>
            </w:pPr>
            <w:r>
              <w:rPr>
                <w:rFonts w:eastAsia="仿宋_GB2312"/>
              </w:rPr>
              <w:t>2024—2026年</w:t>
            </w:r>
          </w:p>
        </w:tc>
        <w:tc>
          <w:tcPr>
            <w:tcW w:w="486" w:type="pct"/>
            <w:shd w:val="clear" w:color="auto" w:fill="auto"/>
            <w:vAlign w:val="center"/>
          </w:tcPr>
          <w:p w14:paraId="4552A36C">
            <w:pPr>
              <w:jc w:val="both"/>
              <w:textAlignment w:val="center"/>
              <w:rPr>
                <w:rFonts w:eastAsia="仿宋_GB2312"/>
              </w:rPr>
            </w:pPr>
            <w:r>
              <w:rPr>
                <w:rFonts w:eastAsia="仿宋_GB2312"/>
              </w:rPr>
              <w:t>2</w:t>
            </w:r>
            <w:r>
              <w:rPr>
                <w:rFonts w:hint="eastAsia" w:eastAsia="仿宋_GB2312"/>
              </w:rPr>
              <w:t>0</w:t>
            </w:r>
            <w:r>
              <w:rPr>
                <w:rFonts w:eastAsia="仿宋_GB2312"/>
              </w:rPr>
              <w:t>00</w:t>
            </w:r>
          </w:p>
        </w:tc>
        <w:tc>
          <w:tcPr>
            <w:tcW w:w="728" w:type="pct"/>
            <w:shd w:val="clear" w:color="auto" w:fill="auto"/>
            <w:vAlign w:val="center"/>
          </w:tcPr>
          <w:p w14:paraId="0DB5D934">
            <w:pPr>
              <w:jc w:val="both"/>
              <w:textAlignment w:val="center"/>
              <w:rPr>
                <w:rFonts w:eastAsia="仿宋_GB2312"/>
              </w:rPr>
            </w:pPr>
            <w:r>
              <w:rPr>
                <w:rFonts w:eastAsia="仿宋_GB2312"/>
              </w:rPr>
              <w:t>生态环境局</w:t>
            </w:r>
          </w:p>
        </w:tc>
      </w:tr>
      <w:tr w14:paraId="0036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4BE87C01">
            <w:pPr>
              <w:jc w:val="center"/>
              <w:textAlignment w:val="center"/>
              <w:rPr>
                <w:rFonts w:eastAsia="仿宋_GB2312"/>
                <w:lang w:bidi="ar"/>
              </w:rPr>
            </w:pPr>
            <w:r>
              <w:rPr>
                <w:rFonts w:eastAsia="仿宋_GB2312"/>
                <w:lang w:bidi="ar"/>
              </w:rPr>
              <w:t>6</w:t>
            </w:r>
          </w:p>
        </w:tc>
        <w:tc>
          <w:tcPr>
            <w:tcW w:w="928" w:type="pct"/>
            <w:gridSpan w:val="2"/>
            <w:shd w:val="clear" w:color="auto" w:fill="auto"/>
            <w:vAlign w:val="center"/>
          </w:tcPr>
          <w:p w14:paraId="48881A0B">
            <w:pPr>
              <w:jc w:val="both"/>
              <w:textAlignment w:val="center"/>
              <w:rPr>
                <w:rFonts w:eastAsia="仿宋_GB2312"/>
              </w:rPr>
            </w:pPr>
            <w:r>
              <w:rPr>
                <w:rFonts w:eastAsia="仿宋_GB2312"/>
              </w:rPr>
              <w:t>马洲岛退化人工林生态恢复工程</w:t>
            </w:r>
          </w:p>
        </w:tc>
        <w:tc>
          <w:tcPr>
            <w:tcW w:w="2045" w:type="pct"/>
            <w:shd w:val="clear" w:color="auto" w:fill="auto"/>
            <w:vAlign w:val="center"/>
          </w:tcPr>
          <w:p w14:paraId="428E5086">
            <w:pPr>
              <w:jc w:val="both"/>
              <w:textAlignment w:val="center"/>
              <w:rPr>
                <w:rFonts w:eastAsia="仿宋_GB2312"/>
              </w:rPr>
            </w:pPr>
            <w:r>
              <w:rPr>
                <w:rFonts w:eastAsia="仿宋_GB2312"/>
              </w:rPr>
              <w:t>对退化人工林进行植被修复与重建措施，提升其生态系统功能、碳汇能力和生物多样性水平，为野生动物生存繁衍提供栖息地。</w:t>
            </w:r>
          </w:p>
        </w:tc>
        <w:tc>
          <w:tcPr>
            <w:tcW w:w="620" w:type="pct"/>
            <w:shd w:val="clear" w:color="auto" w:fill="auto"/>
            <w:vAlign w:val="center"/>
          </w:tcPr>
          <w:p w14:paraId="09D02638">
            <w:pPr>
              <w:jc w:val="both"/>
              <w:textAlignment w:val="center"/>
              <w:rPr>
                <w:rFonts w:eastAsia="仿宋_GB2312"/>
              </w:rPr>
            </w:pPr>
            <w:r>
              <w:rPr>
                <w:rFonts w:eastAsia="仿宋_GB2312"/>
              </w:rPr>
              <w:t>2024—2026年</w:t>
            </w:r>
          </w:p>
        </w:tc>
        <w:tc>
          <w:tcPr>
            <w:tcW w:w="486" w:type="pct"/>
            <w:shd w:val="clear" w:color="auto" w:fill="auto"/>
            <w:vAlign w:val="center"/>
          </w:tcPr>
          <w:p w14:paraId="7F07C953">
            <w:pPr>
              <w:jc w:val="both"/>
              <w:textAlignment w:val="center"/>
              <w:rPr>
                <w:rFonts w:eastAsia="仿宋_GB2312"/>
              </w:rPr>
            </w:pPr>
            <w:r>
              <w:rPr>
                <w:rFonts w:eastAsia="仿宋_GB2312"/>
              </w:rPr>
              <w:t>620</w:t>
            </w:r>
          </w:p>
        </w:tc>
        <w:tc>
          <w:tcPr>
            <w:tcW w:w="728" w:type="pct"/>
            <w:shd w:val="clear" w:color="auto" w:fill="auto"/>
            <w:vAlign w:val="center"/>
          </w:tcPr>
          <w:p w14:paraId="0CABFB83">
            <w:pPr>
              <w:jc w:val="both"/>
              <w:textAlignment w:val="center"/>
              <w:rPr>
                <w:rFonts w:eastAsia="仿宋_GB2312"/>
              </w:rPr>
            </w:pPr>
            <w:r>
              <w:rPr>
                <w:rFonts w:eastAsia="仿宋_GB2312"/>
              </w:rPr>
              <w:t>生态环境局</w:t>
            </w:r>
          </w:p>
        </w:tc>
      </w:tr>
      <w:tr w14:paraId="272E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2A5AAEF1">
            <w:pPr>
              <w:jc w:val="center"/>
              <w:textAlignment w:val="center"/>
              <w:rPr>
                <w:rFonts w:eastAsia="仿宋_GB2312"/>
                <w:lang w:bidi="ar"/>
              </w:rPr>
            </w:pPr>
            <w:r>
              <w:rPr>
                <w:rFonts w:eastAsia="仿宋_GB2312"/>
                <w:lang w:bidi="ar"/>
              </w:rPr>
              <w:t>7</w:t>
            </w:r>
          </w:p>
        </w:tc>
        <w:tc>
          <w:tcPr>
            <w:tcW w:w="928" w:type="pct"/>
            <w:gridSpan w:val="2"/>
            <w:shd w:val="clear" w:color="auto" w:fill="auto"/>
            <w:vAlign w:val="center"/>
          </w:tcPr>
          <w:p w14:paraId="11453C64">
            <w:pPr>
              <w:jc w:val="both"/>
              <w:textAlignment w:val="center"/>
              <w:rPr>
                <w:rFonts w:eastAsia="仿宋_GB2312"/>
              </w:rPr>
            </w:pPr>
            <w:r>
              <w:rPr>
                <w:rFonts w:eastAsia="仿宋_GB2312"/>
              </w:rPr>
              <w:t>马洲岛物种保护小区建设工程</w:t>
            </w:r>
          </w:p>
        </w:tc>
        <w:tc>
          <w:tcPr>
            <w:tcW w:w="2045" w:type="pct"/>
            <w:shd w:val="clear" w:color="auto" w:fill="auto"/>
            <w:vAlign w:val="center"/>
          </w:tcPr>
          <w:p w14:paraId="09FD9C0F">
            <w:pPr>
              <w:jc w:val="both"/>
              <w:textAlignment w:val="center"/>
              <w:rPr>
                <w:rFonts w:eastAsia="仿宋_GB2312"/>
              </w:rPr>
            </w:pPr>
            <w:r>
              <w:rPr>
                <w:rFonts w:eastAsia="仿宋_GB2312"/>
              </w:rPr>
              <w:t>针对区内野大豆自然种群，在马洲岛打造野生大豆保护小区，制定有效保护措施。</w:t>
            </w:r>
          </w:p>
        </w:tc>
        <w:tc>
          <w:tcPr>
            <w:tcW w:w="620" w:type="pct"/>
            <w:shd w:val="clear" w:color="auto" w:fill="auto"/>
            <w:vAlign w:val="center"/>
          </w:tcPr>
          <w:p w14:paraId="7A6BE047">
            <w:pPr>
              <w:jc w:val="both"/>
              <w:textAlignment w:val="center"/>
              <w:rPr>
                <w:rFonts w:eastAsia="仿宋_GB2312"/>
              </w:rPr>
            </w:pPr>
            <w:r>
              <w:rPr>
                <w:rFonts w:eastAsia="仿宋_GB2312"/>
              </w:rPr>
              <w:t>2024—2026年</w:t>
            </w:r>
          </w:p>
        </w:tc>
        <w:tc>
          <w:tcPr>
            <w:tcW w:w="486" w:type="pct"/>
            <w:shd w:val="clear" w:color="auto" w:fill="auto"/>
            <w:vAlign w:val="center"/>
          </w:tcPr>
          <w:p w14:paraId="0311769C">
            <w:pPr>
              <w:jc w:val="both"/>
              <w:textAlignment w:val="center"/>
              <w:rPr>
                <w:rFonts w:eastAsia="仿宋_GB2312"/>
              </w:rPr>
            </w:pPr>
            <w:r>
              <w:rPr>
                <w:rFonts w:eastAsia="仿宋_GB2312"/>
              </w:rPr>
              <w:t>100</w:t>
            </w:r>
          </w:p>
        </w:tc>
        <w:tc>
          <w:tcPr>
            <w:tcW w:w="728" w:type="pct"/>
            <w:shd w:val="clear" w:color="auto" w:fill="auto"/>
            <w:vAlign w:val="center"/>
          </w:tcPr>
          <w:p w14:paraId="34170558">
            <w:pPr>
              <w:jc w:val="both"/>
              <w:textAlignment w:val="center"/>
              <w:rPr>
                <w:rFonts w:eastAsia="仿宋_GB2312"/>
              </w:rPr>
            </w:pPr>
            <w:r>
              <w:rPr>
                <w:rFonts w:eastAsia="仿宋_GB2312"/>
              </w:rPr>
              <w:t>生态环境局</w:t>
            </w:r>
          </w:p>
        </w:tc>
      </w:tr>
      <w:tr w14:paraId="1AC3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1BBCF6B8">
            <w:pPr>
              <w:jc w:val="center"/>
              <w:textAlignment w:val="center"/>
              <w:rPr>
                <w:rFonts w:eastAsia="仿宋_GB2312"/>
              </w:rPr>
            </w:pPr>
            <w:r>
              <w:rPr>
                <w:rFonts w:eastAsia="仿宋_GB2312"/>
                <w:lang w:bidi="ar"/>
              </w:rPr>
              <w:t>8</w:t>
            </w:r>
          </w:p>
        </w:tc>
        <w:tc>
          <w:tcPr>
            <w:tcW w:w="928" w:type="pct"/>
            <w:gridSpan w:val="2"/>
            <w:shd w:val="clear" w:color="auto" w:fill="auto"/>
            <w:vAlign w:val="center"/>
          </w:tcPr>
          <w:p w14:paraId="3F7ED557">
            <w:pPr>
              <w:jc w:val="both"/>
              <w:textAlignment w:val="center"/>
              <w:rPr>
                <w:rFonts w:eastAsia="仿宋_GB2312"/>
              </w:rPr>
            </w:pPr>
            <w:r>
              <w:rPr>
                <w:rFonts w:eastAsia="仿宋_GB2312"/>
              </w:rPr>
              <w:t>中华绒螯蟹鳜鱼国家级水产种质资源保护工程</w:t>
            </w:r>
          </w:p>
        </w:tc>
        <w:tc>
          <w:tcPr>
            <w:tcW w:w="2045" w:type="pct"/>
            <w:shd w:val="clear" w:color="auto" w:fill="auto"/>
            <w:vAlign w:val="center"/>
          </w:tcPr>
          <w:p w14:paraId="3570D4D7">
            <w:pPr>
              <w:jc w:val="both"/>
              <w:textAlignment w:val="center"/>
              <w:rPr>
                <w:rFonts w:eastAsia="仿宋_GB2312"/>
              </w:rPr>
            </w:pPr>
            <w:r>
              <w:rPr>
                <w:rFonts w:eastAsia="仿宋_GB2312"/>
              </w:rPr>
              <w:t>修复水域面积6万平方米，维护生态浮岛和人工鱼礁，维护鱼类生息繁衍场所。</w:t>
            </w:r>
          </w:p>
        </w:tc>
        <w:tc>
          <w:tcPr>
            <w:tcW w:w="620" w:type="pct"/>
            <w:shd w:val="clear" w:color="auto" w:fill="auto"/>
            <w:vAlign w:val="center"/>
          </w:tcPr>
          <w:p w14:paraId="1A7DB454">
            <w:pPr>
              <w:jc w:val="both"/>
              <w:textAlignment w:val="center"/>
              <w:rPr>
                <w:rFonts w:eastAsia="仿宋_GB2312"/>
              </w:rPr>
            </w:pPr>
            <w:r>
              <w:rPr>
                <w:rFonts w:eastAsia="仿宋_GB2312"/>
              </w:rPr>
              <w:t>2024—2035年</w:t>
            </w:r>
          </w:p>
        </w:tc>
        <w:tc>
          <w:tcPr>
            <w:tcW w:w="486" w:type="pct"/>
            <w:shd w:val="clear" w:color="auto" w:fill="auto"/>
            <w:vAlign w:val="center"/>
          </w:tcPr>
          <w:p w14:paraId="342DA5DB">
            <w:pPr>
              <w:jc w:val="both"/>
              <w:textAlignment w:val="center"/>
              <w:rPr>
                <w:rFonts w:eastAsia="仿宋_GB2312"/>
              </w:rPr>
            </w:pPr>
            <w:r>
              <w:rPr>
                <w:rFonts w:eastAsia="仿宋_GB2312"/>
              </w:rPr>
              <w:t>3000</w:t>
            </w:r>
          </w:p>
        </w:tc>
        <w:tc>
          <w:tcPr>
            <w:tcW w:w="728" w:type="pct"/>
            <w:shd w:val="clear" w:color="auto" w:fill="auto"/>
            <w:vAlign w:val="center"/>
          </w:tcPr>
          <w:p w14:paraId="1DEA9717">
            <w:pPr>
              <w:jc w:val="both"/>
              <w:textAlignment w:val="center"/>
              <w:rPr>
                <w:rFonts w:eastAsia="仿宋_GB2312"/>
              </w:rPr>
            </w:pPr>
            <w:r>
              <w:rPr>
                <w:rFonts w:eastAsia="仿宋_GB2312"/>
              </w:rPr>
              <w:t>农业农村局</w:t>
            </w:r>
          </w:p>
        </w:tc>
      </w:tr>
      <w:tr w14:paraId="084D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70BB3106">
            <w:pPr>
              <w:jc w:val="center"/>
              <w:textAlignment w:val="center"/>
              <w:rPr>
                <w:rFonts w:eastAsia="仿宋_GB2312"/>
                <w:lang w:bidi="ar"/>
              </w:rPr>
            </w:pPr>
            <w:r>
              <w:rPr>
                <w:rFonts w:eastAsia="仿宋_GB2312"/>
                <w:lang w:bidi="ar"/>
              </w:rPr>
              <w:t>9</w:t>
            </w:r>
          </w:p>
        </w:tc>
        <w:tc>
          <w:tcPr>
            <w:tcW w:w="928" w:type="pct"/>
            <w:gridSpan w:val="2"/>
            <w:shd w:val="clear" w:color="auto" w:fill="auto"/>
            <w:vAlign w:val="center"/>
          </w:tcPr>
          <w:p w14:paraId="675A6C7D">
            <w:pPr>
              <w:jc w:val="both"/>
              <w:textAlignment w:val="center"/>
              <w:rPr>
                <w:rFonts w:eastAsia="仿宋_GB2312"/>
              </w:rPr>
            </w:pPr>
            <w:r>
              <w:rPr>
                <w:rFonts w:eastAsia="仿宋_GB2312"/>
              </w:rPr>
              <w:t>城市生态屏障</w:t>
            </w:r>
            <w:r>
              <w:rPr>
                <w:rFonts w:hint="eastAsia" w:eastAsia="仿宋_GB2312"/>
              </w:rPr>
              <w:t>工程</w:t>
            </w:r>
          </w:p>
        </w:tc>
        <w:tc>
          <w:tcPr>
            <w:tcW w:w="2045" w:type="pct"/>
            <w:shd w:val="clear" w:color="auto" w:fill="auto"/>
            <w:vAlign w:val="center"/>
          </w:tcPr>
          <w:p w14:paraId="3728B8CE">
            <w:pPr>
              <w:jc w:val="both"/>
              <w:textAlignment w:val="center"/>
              <w:rPr>
                <w:rFonts w:eastAsia="仿宋_GB2312"/>
              </w:rPr>
            </w:pPr>
            <w:r>
              <w:rPr>
                <w:rFonts w:eastAsia="仿宋_GB2312"/>
              </w:rPr>
              <w:t>在适宜地段，尤其水系交汇处或水系、道路节点处适当增加绿地，提高生态服务效益。</w:t>
            </w:r>
          </w:p>
        </w:tc>
        <w:tc>
          <w:tcPr>
            <w:tcW w:w="620" w:type="pct"/>
            <w:shd w:val="clear" w:color="auto" w:fill="auto"/>
            <w:vAlign w:val="center"/>
          </w:tcPr>
          <w:p w14:paraId="3BECF8E9">
            <w:pPr>
              <w:jc w:val="both"/>
              <w:textAlignment w:val="center"/>
              <w:rPr>
                <w:rFonts w:eastAsia="仿宋_GB2312"/>
              </w:rPr>
            </w:pPr>
            <w:r>
              <w:rPr>
                <w:rFonts w:eastAsia="仿宋_GB2312"/>
              </w:rPr>
              <w:t>2024—2025年</w:t>
            </w:r>
          </w:p>
        </w:tc>
        <w:tc>
          <w:tcPr>
            <w:tcW w:w="486" w:type="pct"/>
            <w:shd w:val="clear" w:color="auto" w:fill="auto"/>
            <w:vAlign w:val="center"/>
          </w:tcPr>
          <w:p w14:paraId="43E6E1EB">
            <w:pPr>
              <w:jc w:val="both"/>
              <w:textAlignment w:val="center"/>
              <w:rPr>
                <w:rFonts w:eastAsia="仿宋_GB2312"/>
              </w:rPr>
            </w:pPr>
            <w:r>
              <w:rPr>
                <w:rFonts w:eastAsia="仿宋_GB2312"/>
              </w:rPr>
              <w:t>2000</w:t>
            </w:r>
          </w:p>
        </w:tc>
        <w:tc>
          <w:tcPr>
            <w:tcW w:w="728" w:type="pct"/>
            <w:shd w:val="clear" w:color="auto" w:fill="auto"/>
            <w:vAlign w:val="center"/>
          </w:tcPr>
          <w:p w14:paraId="2A029FD7">
            <w:pPr>
              <w:jc w:val="both"/>
              <w:textAlignment w:val="center"/>
              <w:rPr>
                <w:rFonts w:eastAsia="仿宋_GB2312"/>
              </w:rPr>
            </w:pPr>
            <w:r>
              <w:rPr>
                <w:rFonts w:eastAsia="仿宋_GB2312"/>
              </w:rPr>
              <w:t>自然资源和规划局、住房和城乡建设局</w:t>
            </w:r>
          </w:p>
        </w:tc>
      </w:tr>
      <w:tr w14:paraId="11D2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6CF5B42C">
            <w:pPr>
              <w:jc w:val="center"/>
              <w:textAlignment w:val="center"/>
              <w:rPr>
                <w:rFonts w:eastAsia="仿宋_GB2312"/>
                <w:lang w:bidi="ar"/>
              </w:rPr>
            </w:pPr>
            <w:r>
              <w:rPr>
                <w:rFonts w:eastAsia="仿宋_GB2312"/>
                <w:lang w:bidi="ar"/>
              </w:rPr>
              <w:t>10</w:t>
            </w:r>
          </w:p>
        </w:tc>
        <w:tc>
          <w:tcPr>
            <w:tcW w:w="928" w:type="pct"/>
            <w:gridSpan w:val="2"/>
            <w:shd w:val="clear" w:color="auto" w:fill="auto"/>
            <w:vAlign w:val="center"/>
          </w:tcPr>
          <w:p w14:paraId="4EB3E85D">
            <w:pPr>
              <w:jc w:val="both"/>
              <w:textAlignment w:val="center"/>
              <w:rPr>
                <w:rFonts w:eastAsia="仿宋_GB2312"/>
              </w:rPr>
            </w:pPr>
            <w:r>
              <w:rPr>
                <w:rFonts w:eastAsia="仿宋_GB2312"/>
              </w:rPr>
              <w:t>国土绿化工程</w:t>
            </w:r>
          </w:p>
        </w:tc>
        <w:tc>
          <w:tcPr>
            <w:tcW w:w="2045" w:type="pct"/>
            <w:shd w:val="clear" w:color="auto" w:fill="auto"/>
            <w:vAlign w:val="center"/>
          </w:tcPr>
          <w:p w14:paraId="7AABCA66">
            <w:pPr>
              <w:jc w:val="both"/>
              <w:textAlignment w:val="center"/>
              <w:rPr>
                <w:rFonts w:eastAsia="仿宋_GB2312"/>
              </w:rPr>
            </w:pPr>
            <w:r>
              <w:rPr>
                <w:rFonts w:eastAsia="仿宋_GB2312"/>
              </w:rPr>
              <w:t>实施交通生态廊道多彩景观工程、中心城区慢行绿道工程、城镇公园绿地扩建工程、工业废弃地土地复垦绿化工程、高标准农田林网建设工程等国土绿化项目，增加林木覆盖率。</w:t>
            </w:r>
          </w:p>
        </w:tc>
        <w:tc>
          <w:tcPr>
            <w:tcW w:w="620" w:type="pct"/>
            <w:shd w:val="clear" w:color="auto" w:fill="auto"/>
            <w:vAlign w:val="center"/>
          </w:tcPr>
          <w:p w14:paraId="57E41947">
            <w:pPr>
              <w:jc w:val="both"/>
              <w:textAlignment w:val="center"/>
              <w:rPr>
                <w:rFonts w:eastAsia="仿宋_GB2312"/>
              </w:rPr>
            </w:pPr>
            <w:r>
              <w:rPr>
                <w:rFonts w:eastAsia="仿宋_GB2312"/>
              </w:rPr>
              <w:t>2024—2030年</w:t>
            </w:r>
          </w:p>
        </w:tc>
        <w:tc>
          <w:tcPr>
            <w:tcW w:w="486" w:type="pct"/>
            <w:shd w:val="clear" w:color="auto" w:fill="auto"/>
            <w:vAlign w:val="center"/>
          </w:tcPr>
          <w:p w14:paraId="6666AB8A">
            <w:pPr>
              <w:jc w:val="both"/>
              <w:textAlignment w:val="center"/>
              <w:rPr>
                <w:rFonts w:eastAsia="仿宋_GB2312"/>
              </w:rPr>
            </w:pPr>
            <w:r>
              <w:rPr>
                <w:rFonts w:eastAsia="仿宋_GB2312"/>
              </w:rPr>
              <w:t>24000</w:t>
            </w:r>
          </w:p>
        </w:tc>
        <w:tc>
          <w:tcPr>
            <w:tcW w:w="728" w:type="pct"/>
            <w:shd w:val="clear" w:color="auto" w:fill="auto"/>
            <w:vAlign w:val="center"/>
          </w:tcPr>
          <w:p w14:paraId="19A383C9">
            <w:pPr>
              <w:jc w:val="both"/>
              <w:textAlignment w:val="center"/>
              <w:rPr>
                <w:rFonts w:eastAsia="仿宋_GB2312"/>
              </w:rPr>
            </w:pPr>
            <w:r>
              <w:rPr>
                <w:rFonts w:eastAsia="仿宋_GB2312"/>
              </w:rPr>
              <w:t>住房和城乡建设局、自然资源和规划局</w:t>
            </w:r>
          </w:p>
        </w:tc>
      </w:tr>
      <w:tr w14:paraId="0F51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shd w:val="clear" w:color="auto" w:fill="BBD4E6"/>
            <w:vAlign w:val="center"/>
          </w:tcPr>
          <w:p w14:paraId="0D0B37D1">
            <w:pPr>
              <w:textAlignment w:val="center"/>
              <w:rPr>
                <w:rFonts w:eastAsia="仿宋_GB2312"/>
              </w:rPr>
            </w:pPr>
            <w:r>
              <w:rPr>
                <w:rFonts w:eastAsia="仿宋_GB2312"/>
                <w:b/>
                <w:bCs/>
                <w:lang w:bidi="ar"/>
              </w:rPr>
              <w:t>（三）生物多样性宣传教育科研项目</w:t>
            </w:r>
          </w:p>
        </w:tc>
      </w:tr>
      <w:tr w14:paraId="1274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5E6DEA18">
            <w:pPr>
              <w:jc w:val="center"/>
              <w:textAlignment w:val="center"/>
              <w:rPr>
                <w:rFonts w:eastAsia="仿宋_GB2312"/>
              </w:rPr>
            </w:pPr>
            <w:r>
              <w:rPr>
                <w:rFonts w:eastAsia="仿宋_GB2312"/>
                <w:lang w:bidi="ar"/>
              </w:rPr>
              <w:t>1</w:t>
            </w:r>
          </w:p>
        </w:tc>
        <w:tc>
          <w:tcPr>
            <w:tcW w:w="928" w:type="pct"/>
            <w:gridSpan w:val="2"/>
            <w:shd w:val="clear" w:color="auto" w:fill="auto"/>
            <w:vAlign w:val="center"/>
          </w:tcPr>
          <w:p w14:paraId="2D2CEB5F">
            <w:pPr>
              <w:jc w:val="both"/>
              <w:textAlignment w:val="center"/>
              <w:rPr>
                <w:rFonts w:eastAsia="仿宋_GB2312"/>
              </w:rPr>
            </w:pPr>
            <w:r>
              <w:rPr>
                <w:rFonts w:eastAsia="仿宋_GB2312"/>
              </w:rPr>
              <w:t>生物多样性展示平台建设工程</w:t>
            </w:r>
          </w:p>
        </w:tc>
        <w:tc>
          <w:tcPr>
            <w:tcW w:w="2045" w:type="pct"/>
            <w:shd w:val="clear" w:color="auto" w:fill="auto"/>
            <w:vAlign w:val="center"/>
          </w:tcPr>
          <w:p w14:paraId="356F1484">
            <w:pPr>
              <w:jc w:val="both"/>
              <w:textAlignment w:val="center"/>
              <w:rPr>
                <w:rFonts w:eastAsia="仿宋_GB2312"/>
              </w:rPr>
            </w:pPr>
            <w:r>
              <w:rPr>
                <w:rFonts w:eastAsia="仿宋_GB2312"/>
              </w:rPr>
              <w:t>建设靖江长江江豚观测体验平台和马洲岛生物多样性体验展示基地。开发具有影响力、竞争力、价值性的特色湿地文化产品，打造湿地文化产品特色品牌，实现湿地文化产品输出与生态保护工作协同发展。</w:t>
            </w:r>
          </w:p>
        </w:tc>
        <w:tc>
          <w:tcPr>
            <w:tcW w:w="620" w:type="pct"/>
            <w:shd w:val="clear" w:color="auto" w:fill="auto"/>
            <w:vAlign w:val="center"/>
          </w:tcPr>
          <w:p w14:paraId="3B4F10B7">
            <w:pPr>
              <w:jc w:val="both"/>
              <w:textAlignment w:val="center"/>
              <w:rPr>
                <w:rFonts w:eastAsia="仿宋_GB2312"/>
              </w:rPr>
            </w:pPr>
            <w:r>
              <w:rPr>
                <w:rFonts w:eastAsia="仿宋_GB2312"/>
              </w:rPr>
              <w:t>2024—2026年</w:t>
            </w:r>
          </w:p>
        </w:tc>
        <w:tc>
          <w:tcPr>
            <w:tcW w:w="486" w:type="pct"/>
            <w:shd w:val="clear" w:color="auto" w:fill="auto"/>
            <w:vAlign w:val="center"/>
          </w:tcPr>
          <w:p w14:paraId="4BD59433">
            <w:pPr>
              <w:jc w:val="both"/>
              <w:textAlignment w:val="center"/>
              <w:rPr>
                <w:rFonts w:eastAsia="仿宋_GB2312"/>
              </w:rPr>
            </w:pPr>
            <w:r>
              <w:rPr>
                <w:rFonts w:eastAsia="仿宋_GB2312"/>
              </w:rPr>
              <w:t>500</w:t>
            </w:r>
          </w:p>
        </w:tc>
        <w:tc>
          <w:tcPr>
            <w:tcW w:w="728" w:type="pct"/>
            <w:shd w:val="clear" w:color="auto" w:fill="auto"/>
            <w:vAlign w:val="center"/>
          </w:tcPr>
          <w:p w14:paraId="1A0C60C0">
            <w:pPr>
              <w:jc w:val="both"/>
              <w:textAlignment w:val="center"/>
              <w:rPr>
                <w:rFonts w:eastAsia="仿宋_GB2312"/>
              </w:rPr>
            </w:pPr>
            <w:r>
              <w:rPr>
                <w:rFonts w:eastAsia="仿宋_GB2312"/>
              </w:rPr>
              <w:t>生态环境局</w:t>
            </w:r>
          </w:p>
        </w:tc>
      </w:tr>
      <w:tr w14:paraId="2BEE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539572C1">
            <w:pPr>
              <w:jc w:val="center"/>
              <w:textAlignment w:val="center"/>
              <w:rPr>
                <w:rFonts w:eastAsia="仿宋_GB2312"/>
              </w:rPr>
            </w:pPr>
            <w:r>
              <w:rPr>
                <w:rFonts w:eastAsia="仿宋_GB2312"/>
                <w:lang w:bidi="ar"/>
              </w:rPr>
              <w:t>2</w:t>
            </w:r>
          </w:p>
        </w:tc>
        <w:tc>
          <w:tcPr>
            <w:tcW w:w="928" w:type="pct"/>
            <w:gridSpan w:val="2"/>
            <w:shd w:val="clear" w:color="auto" w:fill="auto"/>
            <w:vAlign w:val="center"/>
          </w:tcPr>
          <w:p w14:paraId="6FE87036">
            <w:pPr>
              <w:jc w:val="both"/>
              <w:textAlignment w:val="center"/>
              <w:rPr>
                <w:rFonts w:eastAsia="仿宋_GB2312"/>
              </w:rPr>
            </w:pPr>
            <w:r>
              <w:rPr>
                <w:rFonts w:eastAsia="仿宋_GB2312"/>
              </w:rPr>
              <w:t>生物多样性宣传活动</w:t>
            </w:r>
          </w:p>
        </w:tc>
        <w:tc>
          <w:tcPr>
            <w:tcW w:w="2045" w:type="pct"/>
            <w:shd w:val="clear" w:color="auto" w:fill="auto"/>
            <w:vAlign w:val="center"/>
          </w:tcPr>
          <w:p w14:paraId="4976CA05">
            <w:pPr>
              <w:jc w:val="both"/>
              <w:textAlignment w:val="center"/>
              <w:rPr>
                <w:rFonts w:eastAsia="仿宋_GB2312"/>
              </w:rPr>
            </w:pPr>
            <w:r>
              <w:rPr>
                <w:rFonts w:eastAsia="仿宋_GB2312"/>
              </w:rPr>
              <w:t>结合“六五世界环境日”“5·22生物多样性日”“爱鸟周”“全国生态日”“湿地日”等主题日，开展线上线下等多种形式的生物多样性保护宣传。</w:t>
            </w:r>
          </w:p>
        </w:tc>
        <w:tc>
          <w:tcPr>
            <w:tcW w:w="620" w:type="pct"/>
            <w:shd w:val="clear" w:color="auto" w:fill="auto"/>
            <w:vAlign w:val="center"/>
          </w:tcPr>
          <w:p w14:paraId="274534D2">
            <w:pPr>
              <w:jc w:val="both"/>
              <w:textAlignment w:val="center"/>
              <w:rPr>
                <w:rFonts w:eastAsia="仿宋_GB2312"/>
              </w:rPr>
            </w:pPr>
            <w:r>
              <w:rPr>
                <w:rFonts w:eastAsia="仿宋_GB2312"/>
              </w:rPr>
              <w:t>2024—2035年</w:t>
            </w:r>
          </w:p>
        </w:tc>
        <w:tc>
          <w:tcPr>
            <w:tcW w:w="486" w:type="pct"/>
            <w:shd w:val="clear" w:color="auto" w:fill="auto"/>
            <w:vAlign w:val="center"/>
          </w:tcPr>
          <w:p w14:paraId="2E816CCE">
            <w:pPr>
              <w:jc w:val="both"/>
              <w:textAlignment w:val="center"/>
              <w:rPr>
                <w:rFonts w:eastAsia="仿宋_GB2312"/>
              </w:rPr>
            </w:pPr>
            <w:r>
              <w:rPr>
                <w:rFonts w:eastAsia="仿宋_GB2312"/>
              </w:rPr>
              <w:t>200</w:t>
            </w:r>
          </w:p>
        </w:tc>
        <w:tc>
          <w:tcPr>
            <w:tcW w:w="728" w:type="pct"/>
            <w:shd w:val="clear" w:color="auto" w:fill="auto"/>
            <w:vAlign w:val="center"/>
          </w:tcPr>
          <w:p w14:paraId="6488EA7C">
            <w:pPr>
              <w:jc w:val="both"/>
              <w:textAlignment w:val="center"/>
              <w:rPr>
                <w:rFonts w:eastAsia="仿宋_GB2312"/>
              </w:rPr>
            </w:pPr>
            <w:r>
              <w:rPr>
                <w:rFonts w:eastAsia="仿宋_GB2312"/>
              </w:rPr>
              <w:t>生态环境局</w:t>
            </w:r>
          </w:p>
        </w:tc>
      </w:tr>
      <w:tr w14:paraId="2F41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shd w:val="clear" w:color="auto" w:fill="BBD4E6"/>
            <w:vAlign w:val="center"/>
          </w:tcPr>
          <w:p w14:paraId="103D7111">
            <w:pPr>
              <w:textAlignment w:val="center"/>
              <w:rPr>
                <w:rFonts w:eastAsia="仿宋_GB2312"/>
              </w:rPr>
            </w:pPr>
            <w:r>
              <w:rPr>
                <w:rFonts w:eastAsia="仿宋_GB2312"/>
                <w:b/>
                <w:bCs/>
              </w:rPr>
              <w:t>（四）生物多样性可持续利用项目</w:t>
            </w:r>
          </w:p>
        </w:tc>
      </w:tr>
      <w:tr w14:paraId="0F1F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39167FC6">
            <w:pPr>
              <w:jc w:val="center"/>
              <w:textAlignment w:val="center"/>
              <w:rPr>
                <w:rFonts w:eastAsia="仿宋_GB2312"/>
              </w:rPr>
            </w:pPr>
            <w:r>
              <w:rPr>
                <w:rFonts w:eastAsia="仿宋_GB2312"/>
              </w:rPr>
              <w:t>1</w:t>
            </w:r>
          </w:p>
        </w:tc>
        <w:tc>
          <w:tcPr>
            <w:tcW w:w="881" w:type="pct"/>
            <w:shd w:val="clear" w:color="auto" w:fill="auto"/>
            <w:vAlign w:val="center"/>
          </w:tcPr>
          <w:p w14:paraId="575666C3">
            <w:pPr>
              <w:overflowPunct w:val="0"/>
              <w:spacing w:line="280" w:lineRule="exact"/>
              <w:rPr>
                <w:rFonts w:eastAsia="仿宋_GB2312"/>
              </w:rPr>
            </w:pPr>
            <w:r>
              <w:rPr>
                <w:rFonts w:eastAsia="仿宋_GB2312"/>
              </w:rPr>
              <w:t>生态产品价值核算工程</w:t>
            </w:r>
          </w:p>
        </w:tc>
        <w:tc>
          <w:tcPr>
            <w:tcW w:w="2092" w:type="pct"/>
            <w:gridSpan w:val="2"/>
            <w:shd w:val="clear" w:color="auto" w:fill="auto"/>
            <w:vAlign w:val="center"/>
          </w:tcPr>
          <w:p w14:paraId="4B84C373">
            <w:pPr>
              <w:overflowPunct w:val="0"/>
              <w:spacing w:line="280" w:lineRule="exact"/>
              <w:rPr>
                <w:rFonts w:eastAsia="仿宋_GB2312"/>
              </w:rPr>
            </w:pPr>
            <w:r>
              <w:rPr>
                <w:rFonts w:eastAsia="仿宋_GB2312"/>
              </w:rPr>
              <w:t>建立生态产品价值核算指标体系，开展生态产品核算和生态产品价值实现转化机制研究。</w:t>
            </w:r>
          </w:p>
        </w:tc>
        <w:tc>
          <w:tcPr>
            <w:tcW w:w="620" w:type="pct"/>
            <w:shd w:val="clear" w:color="auto" w:fill="auto"/>
            <w:vAlign w:val="center"/>
          </w:tcPr>
          <w:p w14:paraId="79AC054C">
            <w:pPr>
              <w:jc w:val="both"/>
              <w:textAlignment w:val="center"/>
              <w:rPr>
                <w:rFonts w:eastAsia="仿宋_GB2312"/>
              </w:rPr>
            </w:pPr>
            <w:r>
              <w:rPr>
                <w:rFonts w:eastAsia="仿宋_GB2312"/>
              </w:rPr>
              <w:t>2024—2026年</w:t>
            </w:r>
          </w:p>
        </w:tc>
        <w:tc>
          <w:tcPr>
            <w:tcW w:w="486" w:type="pct"/>
            <w:shd w:val="clear" w:color="auto" w:fill="auto"/>
            <w:vAlign w:val="center"/>
          </w:tcPr>
          <w:p w14:paraId="3A8747D8">
            <w:pPr>
              <w:jc w:val="both"/>
              <w:textAlignment w:val="center"/>
              <w:rPr>
                <w:rFonts w:eastAsia="仿宋_GB2312"/>
              </w:rPr>
            </w:pPr>
            <w:r>
              <w:rPr>
                <w:rFonts w:eastAsia="仿宋_GB2312"/>
              </w:rPr>
              <w:t>50</w:t>
            </w:r>
          </w:p>
        </w:tc>
        <w:tc>
          <w:tcPr>
            <w:tcW w:w="728" w:type="pct"/>
            <w:shd w:val="clear" w:color="auto" w:fill="auto"/>
            <w:vAlign w:val="center"/>
          </w:tcPr>
          <w:p w14:paraId="2EA9F804">
            <w:pPr>
              <w:jc w:val="both"/>
              <w:textAlignment w:val="center"/>
              <w:rPr>
                <w:rFonts w:eastAsia="仿宋_GB2312"/>
              </w:rPr>
            </w:pPr>
            <w:r>
              <w:rPr>
                <w:rFonts w:eastAsia="仿宋_GB2312"/>
              </w:rPr>
              <w:t>生态环境局</w:t>
            </w:r>
          </w:p>
        </w:tc>
      </w:tr>
      <w:tr w14:paraId="27FB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 w:type="pct"/>
            <w:shd w:val="clear" w:color="auto" w:fill="auto"/>
            <w:vAlign w:val="center"/>
          </w:tcPr>
          <w:p w14:paraId="47C4657C">
            <w:pPr>
              <w:jc w:val="center"/>
              <w:textAlignment w:val="center"/>
              <w:rPr>
                <w:rFonts w:eastAsia="仿宋_GB2312"/>
              </w:rPr>
            </w:pPr>
            <w:r>
              <w:rPr>
                <w:rFonts w:eastAsia="仿宋_GB2312"/>
                <w:lang w:bidi="ar"/>
              </w:rPr>
              <w:t>2</w:t>
            </w:r>
          </w:p>
        </w:tc>
        <w:tc>
          <w:tcPr>
            <w:tcW w:w="881" w:type="pct"/>
            <w:shd w:val="clear" w:color="auto" w:fill="auto"/>
            <w:vAlign w:val="center"/>
          </w:tcPr>
          <w:p w14:paraId="115D87AF">
            <w:pPr>
              <w:overflowPunct w:val="0"/>
              <w:spacing w:line="280" w:lineRule="exact"/>
              <w:rPr>
                <w:rFonts w:eastAsia="仿宋_GB2312"/>
              </w:rPr>
            </w:pPr>
            <w:r>
              <w:rPr>
                <w:rFonts w:eastAsia="仿宋_GB2312"/>
              </w:rPr>
              <w:t>生态产品供给示范工程</w:t>
            </w:r>
          </w:p>
        </w:tc>
        <w:tc>
          <w:tcPr>
            <w:tcW w:w="2092" w:type="pct"/>
            <w:gridSpan w:val="2"/>
            <w:shd w:val="clear" w:color="auto" w:fill="auto"/>
            <w:vAlign w:val="center"/>
          </w:tcPr>
          <w:p w14:paraId="2F29B137">
            <w:pPr>
              <w:overflowPunct w:val="0"/>
              <w:spacing w:line="280" w:lineRule="exact"/>
              <w:rPr>
                <w:rFonts w:eastAsia="仿宋_GB2312"/>
              </w:rPr>
            </w:pPr>
            <w:r>
              <w:rPr>
                <w:rFonts w:eastAsia="仿宋_GB2312"/>
              </w:rPr>
              <w:t>紧扣靖江特色，聚焦农业特色产业。结合马洲岛基础与特色，大力发展有机生态农业，实施“水稻+N”绿色高效种植，打造马洲岛生态产品品牌并推广。</w:t>
            </w:r>
          </w:p>
        </w:tc>
        <w:tc>
          <w:tcPr>
            <w:tcW w:w="620" w:type="pct"/>
            <w:shd w:val="clear" w:color="auto" w:fill="auto"/>
            <w:vAlign w:val="center"/>
          </w:tcPr>
          <w:p w14:paraId="0D93F19C">
            <w:pPr>
              <w:jc w:val="both"/>
              <w:textAlignment w:val="center"/>
              <w:rPr>
                <w:rFonts w:eastAsia="仿宋_GB2312"/>
              </w:rPr>
            </w:pPr>
            <w:r>
              <w:rPr>
                <w:rFonts w:eastAsia="仿宋_GB2312"/>
              </w:rPr>
              <w:t>2024—2026年</w:t>
            </w:r>
          </w:p>
        </w:tc>
        <w:tc>
          <w:tcPr>
            <w:tcW w:w="486" w:type="pct"/>
            <w:shd w:val="clear" w:color="auto" w:fill="auto"/>
            <w:vAlign w:val="center"/>
          </w:tcPr>
          <w:p w14:paraId="362A347F">
            <w:pPr>
              <w:jc w:val="both"/>
              <w:textAlignment w:val="center"/>
              <w:rPr>
                <w:rFonts w:eastAsia="仿宋_GB2312"/>
              </w:rPr>
            </w:pPr>
            <w:r>
              <w:rPr>
                <w:rFonts w:eastAsia="仿宋_GB2312"/>
              </w:rPr>
              <w:t>150</w:t>
            </w:r>
          </w:p>
        </w:tc>
        <w:tc>
          <w:tcPr>
            <w:tcW w:w="728" w:type="pct"/>
            <w:shd w:val="clear" w:color="auto" w:fill="auto"/>
            <w:vAlign w:val="center"/>
          </w:tcPr>
          <w:p w14:paraId="22907235">
            <w:pPr>
              <w:jc w:val="both"/>
              <w:textAlignment w:val="center"/>
              <w:rPr>
                <w:rFonts w:eastAsia="仿宋_GB2312"/>
              </w:rPr>
            </w:pPr>
            <w:r>
              <w:rPr>
                <w:rFonts w:eastAsia="仿宋_GB2312"/>
              </w:rPr>
              <w:t>生态环境局</w:t>
            </w:r>
          </w:p>
        </w:tc>
      </w:tr>
    </w:tbl>
    <w:p w14:paraId="6C90B84E">
      <w:pPr>
        <w:spacing w:before="100" w:beforeAutospacing="1" w:after="100" w:afterAutospacing="1" w:line="360" w:lineRule="auto"/>
        <w:outlineLvl w:val="0"/>
        <w:rPr>
          <w:rFonts w:eastAsia="仿宋_GB2312"/>
          <w:b/>
          <w:sz w:val="28"/>
          <w:szCs w:val="28"/>
        </w:rPr>
        <w:sectPr>
          <w:pgSz w:w="16838" w:h="11906" w:orient="landscape"/>
          <w:pgMar w:top="1800" w:right="1440" w:bottom="1800" w:left="1440" w:header="851" w:footer="992" w:gutter="0"/>
          <w:cols w:space="425" w:num="1"/>
          <w:docGrid w:type="lines" w:linePitch="312" w:charSpace="0"/>
        </w:sectPr>
      </w:pPr>
    </w:p>
    <w:p w14:paraId="70A3425C">
      <w:pPr>
        <w:spacing w:line="360" w:lineRule="auto"/>
        <w:outlineLvl w:val="0"/>
        <w:rPr>
          <w:rFonts w:eastAsia="仿宋_GB2312"/>
          <w:b/>
          <w:sz w:val="28"/>
          <w:szCs w:val="28"/>
        </w:rPr>
      </w:pPr>
      <w:bookmarkStart w:id="113" w:name="_Toc30706"/>
      <w:bookmarkStart w:id="114" w:name="_Toc24789"/>
      <w:r>
        <w:rPr>
          <w:rFonts w:eastAsia="仿宋_GB2312"/>
          <w:b/>
          <w:sz w:val="28"/>
          <w:szCs w:val="28"/>
        </w:rPr>
        <w:t>附录2 靖江市优先保护植物名录</w:t>
      </w:r>
      <w:bookmarkEnd w:id="113"/>
      <w:bookmarkEnd w:id="114"/>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136"/>
        <w:gridCol w:w="2442"/>
        <w:gridCol w:w="951"/>
        <w:gridCol w:w="1207"/>
        <w:gridCol w:w="881"/>
        <w:gridCol w:w="1321"/>
      </w:tblGrid>
      <w:tr w14:paraId="1F46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B3C184"/>
            <w:noWrap/>
            <w:vAlign w:val="center"/>
          </w:tcPr>
          <w:p w14:paraId="3574E41B">
            <w:pPr>
              <w:jc w:val="center"/>
              <w:rPr>
                <w:rFonts w:eastAsia="仿宋_GB2312"/>
                <w:b/>
                <w:bCs/>
              </w:rPr>
            </w:pPr>
            <w:r>
              <w:rPr>
                <w:rFonts w:eastAsia="仿宋_GB2312"/>
                <w:b/>
                <w:bCs/>
              </w:rPr>
              <w:t>序号</w:t>
            </w:r>
          </w:p>
        </w:tc>
        <w:tc>
          <w:tcPr>
            <w:tcW w:w="666" w:type="pct"/>
            <w:shd w:val="clear" w:color="auto" w:fill="B3C184"/>
            <w:noWrap/>
            <w:vAlign w:val="center"/>
          </w:tcPr>
          <w:p w14:paraId="45B02BF9">
            <w:pPr>
              <w:jc w:val="center"/>
              <w:rPr>
                <w:rFonts w:eastAsia="仿宋_GB2312"/>
                <w:b/>
                <w:bCs/>
              </w:rPr>
            </w:pPr>
            <w:r>
              <w:rPr>
                <w:rFonts w:eastAsia="仿宋_GB2312"/>
                <w:b/>
                <w:bCs/>
              </w:rPr>
              <w:t>物种名</w:t>
            </w:r>
          </w:p>
        </w:tc>
        <w:tc>
          <w:tcPr>
            <w:tcW w:w="1431" w:type="pct"/>
            <w:shd w:val="clear" w:color="auto" w:fill="B3C184"/>
            <w:noWrap/>
            <w:vAlign w:val="center"/>
          </w:tcPr>
          <w:p w14:paraId="737D2E95">
            <w:pPr>
              <w:jc w:val="center"/>
              <w:rPr>
                <w:rFonts w:eastAsia="仿宋_GB2312"/>
                <w:b/>
                <w:bCs/>
              </w:rPr>
            </w:pPr>
            <w:r>
              <w:rPr>
                <w:rFonts w:eastAsia="仿宋_GB2312"/>
                <w:b/>
                <w:bCs/>
              </w:rPr>
              <w:t>学名</w:t>
            </w:r>
          </w:p>
        </w:tc>
        <w:tc>
          <w:tcPr>
            <w:tcW w:w="558" w:type="pct"/>
            <w:shd w:val="clear" w:color="auto" w:fill="B3C184"/>
            <w:noWrap/>
            <w:vAlign w:val="center"/>
          </w:tcPr>
          <w:p w14:paraId="36330630">
            <w:pPr>
              <w:jc w:val="center"/>
              <w:rPr>
                <w:rFonts w:eastAsia="仿宋_GB2312"/>
                <w:b/>
                <w:bCs/>
              </w:rPr>
            </w:pPr>
            <w:r>
              <w:rPr>
                <w:rFonts w:eastAsia="仿宋_GB2312"/>
                <w:b/>
                <w:bCs/>
              </w:rPr>
              <w:t>科</w:t>
            </w:r>
          </w:p>
        </w:tc>
        <w:tc>
          <w:tcPr>
            <w:tcW w:w="708" w:type="pct"/>
            <w:shd w:val="clear" w:color="auto" w:fill="B3C184"/>
            <w:noWrap/>
            <w:vAlign w:val="center"/>
          </w:tcPr>
          <w:p w14:paraId="401204B8">
            <w:pPr>
              <w:jc w:val="center"/>
              <w:rPr>
                <w:rFonts w:eastAsia="仿宋_GB2312"/>
                <w:b/>
                <w:bCs/>
              </w:rPr>
            </w:pPr>
            <w:r>
              <w:rPr>
                <w:rFonts w:eastAsia="仿宋_GB2312"/>
                <w:b/>
                <w:bCs/>
              </w:rPr>
              <w:t>属</w:t>
            </w:r>
          </w:p>
        </w:tc>
        <w:tc>
          <w:tcPr>
            <w:tcW w:w="517" w:type="pct"/>
            <w:shd w:val="clear" w:color="auto" w:fill="B3C184"/>
            <w:noWrap/>
            <w:vAlign w:val="center"/>
          </w:tcPr>
          <w:p w14:paraId="655A75A9">
            <w:pPr>
              <w:jc w:val="center"/>
              <w:rPr>
                <w:rFonts w:eastAsia="仿宋_GB2312"/>
                <w:b/>
                <w:bCs/>
              </w:rPr>
            </w:pPr>
            <w:r>
              <w:rPr>
                <w:rFonts w:eastAsia="仿宋_GB2312"/>
                <w:b/>
                <w:bCs/>
              </w:rPr>
              <w:t>保护级别</w:t>
            </w:r>
          </w:p>
        </w:tc>
        <w:tc>
          <w:tcPr>
            <w:tcW w:w="775" w:type="pct"/>
            <w:shd w:val="clear" w:color="auto" w:fill="B3C184"/>
            <w:noWrap/>
            <w:vAlign w:val="center"/>
          </w:tcPr>
          <w:p w14:paraId="36BFA492">
            <w:pPr>
              <w:jc w:val="center"/>
              <w:rPr>
                <w:rFonts w:eastAsia="仿宋_GB2312"/>
                <w:b/>
                <w:bCs/>
              </w:rPr>
            </w:pPr>
            <w:r>
              <w:rPr>
                <w:rFonts w:eastAsia="仿宋_GB2312"/>
                <w:b/>
                <w:bCs/>
              </w:rPr>
              <w:t>红色名录等级</w:t>
            </w:r>
          </w:p>
        </w:tc>
      </w:tr>
      <w:tr w14:paraId="0307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60A98977">
            <w:pPr>
              <w:jc w:val="center"/>
              <w:rPr>
                <w:rFonts w:eastAsia="仿宋_GB2312"/>
                <w:szCs w:val="22"/>
              </w:rPr>
            </w:pPr>
            <w:r>
              <w:rPr>
                <w:rFonts w:eastAsia="仿宋_GB2312"/>
                <w:szCs w:val="22"/>
              </w:rPr>
              <w:t>1</w:t>
            </w:r>
          </w:p>
        </w:tc>
        <w:tc>
          <w:tcPr>
            <w:tcW w:w="666" w:type="pct"/>
            <w:shd w:val="clear" w:color="auto" w:fill="auto"/>
            <w:noWrap/>
            <w:vAlign w:val="center"/>
          </w:tcPr>
          <w:p w14:paraId="20862CB5">
            <w:pPr>
              <w:jc w:val="center"/>
              <w:rPr>
                <w:rFonts w:eastAsia="仿宋_GB2312"/>
                <w:szCs w:val="22"/>
              </w:rPr>
            </w:pPr>
            <w:r>
              <w:rPr>
                <w:rFonts w:eastAsia="仿宋_GB2312"/>
                <w:szCs w:val="22"/>
              </w:rPr>
              <w:t>水杉</w:t>
            </w:r>
          </w:p>
        </w:tc>
        <w:tc>
          <w:tcPr>
            <w:tcW w:w="1431" w:type="pct"/>
            <w:shd w:val="clear" w:color="auto" w:fill="auto"/>
            <w:noWrap/>
            <w:vAlign w:val="center"/>
          </w:tcPr>
          <w:p w14:paraId="721DD3B7">
            <w:pPr>
              <w:jc w:val="center"/>
              <w:rPr>
                <w:rFonts w:eastAsia="仿宋_GB2312"/>
                <w:i/>
                <w:iCs/>
                <w:szCs w:val="22"/>
              </w:rPr>
            </w:pPr>
            <w:r>
              <w:rPr>
                <w:rFonts w:eastAsia="仿宋_GB2312"/>
                <w:i/>
                <w:iCs/>
                <w:szCs w:val="22"/>
              </w:rPr>
              <w:t>Metasequoia glyptostroboides</w:t>
            </w:r>
          </w:p>
        </w:tc>
        <w:tc>
          <w:tcPr>
            <w:tcW w:w="558" w:type="pct"/>
            <w:shd w:val="clear" w:color="auto" w:fill="auto"/>
            <w:noWrap/>
            <w:vAlign w:val="center"/>
          </w:tcPr>
          <w:p w14:paraId="7F2291C6">
            <w:pPr>
              <w:jc w:val="center"/>
              <w:rPr>
                <w:rFonts w:eastAsia="仿宋_GB2312"/>
                <w:szCs w:val="22"/>
              </w:rPr>
            </w:pPr>
            <w:r>
              <w:rPr>
                <w:rFonts w:eastAsia="仿宋_GB2312"/>
                <w:szCs w:val="22"/>
              </w:rPr>
              <w:t>柏科</w:t>
            </w:r>
          </w:p>
        </w:tc>
        <w:tc>
          <w:tcPr>
            <w:tcW w:w="708" w:type="pct"/>
            <w:shd w:val="clear" w:color="auto" w:fill="auto"/>
            <w:noWrap/>
            <w:vAlign w:val="center"/>
          </w:tcPr>
          <w:p w14:paraId="3B8413D7">
            <w:pPr>
              <w:jc w:val="center"/>
              <w:rPr>
                <w:rFonts w:eastAsia="仿宋_GB2312"/>
                <w:szCs w:val="22"/>
              </w:rPr>
            </w:pPr>
            <w:r>
              <w:rPr>
                <w:rFonts w:eastAsia="仿宋_GB2312"/>
                <w:szCs w:val="22"/>
              </w:rPr>
              <w:t>水杉属</w:t>
            </w:r>
          </w:p>
        </w:tc>
        <w:tc>
          <w:tcPr>
            <w:tcW w:w="517" w:type="pct"/>
            <w:shd w:val="clear" w:color="auto" w:fill="auto"/>
            <w:noWrap/>
            <w:vAlign w:val="center"/>
          </w:tcPr>
          <w:p w14:paraId="6BA59D67">
            <w:pPr>
              <w:jc w:val="center"/>
              <w:rPr>
                <w:rFonts w:eastAsia="仿宋_GB2312"/>
                <w:szCs w:val="22"/>
              </w:rPr>
            </w:pPr>
            <w:r>
              <w:rPr>
                <w:rFonts w:eastAsia="仿宋_GB2312"/>
              </w:rPr>
              <w:t>国家</w:t>
            </w:r>
            <w:r>
              <w:rPr>
                <w:rFonts w:eastAsia="仿宋_GB2312"/>
                <w:szCs w:val="22"/>
              </w:rPr>
              <w:t>一级</w:t>
            </w:r>
          </w:p>
        </w:tc>
        <w:tc>
          <w:tcPr>
            <w:tcW w:w="775" w:type="pct"/>
            <w:shd w:val="clear" w:color="auto" w:fill="auto"/>
            <w:noWrap/>
            <w:vAlign w:val="center"/>
          </w:tcPr>
          <w:p w14:paraId="1768F16D">
            <w:pPr>
              <w:jc w:val="center"/>
              <w:rPr>
                <w:rFonts w:eastAsia="仿宋_GB2312"/>
                <w:szCs w:val="22"/>
              </w:rPr>
            </w:pPr>
            <w:r>
              <w:rPr>
                <w:rFonts w:eastAsia="仿宋_GB2312"/>
                <w:szCs w:val="22"/>
              </w:rPr>
              <w:t>EN</w:t>
            </w:r>
          </w:p>
        </w:tc>
      </w:tr>
      <w:tr w14:paraId="11C0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2" w:type="pct"/>
            <w:shd w:val="clear" w:color="auto" w:fill="auto"/>
            <w:noWrap/>
            <w:vAlign w:val="center"/>
          </w:tcPr>
          <w:p w14:paraId="62BDBAFE">
            <w:pPr>
              <w:jc w:val="center"/>
              <w:rPr>
                <w:rFonts w:eastAsia="仿宋_GB2312"/>
                <w:szCs w:val="22"/>
              </w:rPr>
            </w:pPr>
            <w:r>
              <w:rPr>
                <w:rFonts w:eastAsia="仿宋_GB2312"/>
                <w:szCs w:val="22"/>
              </w:rPr>
              <w:t>2</w:t>
            </w:r>
          </w:p>
        </w:tc>
        <w:tc>
          <w:tcPr>
            <w:tcW w:w="666" w:type="pct"/>
            <w:shd w:val="clear" w:color="auto" w:fill="auto"/>
            <w:noWrap/>
            <w:vAlign w:val="center"/>
          </w:tcPr>
          <w:p w14:paraId="27681AA0">
            <w:pPr>
              <w:jc w:val="center"/>
              <w:rPr>
                <w:rFonts w:eastAsia="仿宋_GB2312"/>
              </w:rPr>
            </w:pPr>
            <w:r>
              <w:rPr>
                <w:rFonts w:eastAsia="仿宋_GB2312"/>
              </w:rPr>
              <w:t>榧树</w:t>
            </w:r>
          </w:p>
        </w:tc>
        <w:tc>
          <w:tcPr>
            <w:tcW w:w="1431" w:type="pct"/>
            <w:shd w:val="clear" w:color="auto" w:fill="auto"/>
            <w:noWrap/>
            <w:vAlign w:val="center"/>
          </w:tcPr>
          <w:p w14:paraId="3EACAC65">
            <w:pPr>
              <w:jc w:val="center"/>
              <w:rPr>
                <w:rFonts w:eastAsia="仿宋_GB2312"/>
                <w:i/>
                <w:iCs/>
              </w:rPr>
            </w:pPr>
            <w:r>
              <w:rPr>
                <w:rFonts w:eastAsia="仿宋_GB2312"/>
                <w:i/>
                <w:iCs/>
              </w:rPr>
              <w:t>Torreya grandis</w:t>
            </w:r>
          </w:p>
        </w:tc>
        <w:tc>
          <w:tcPr>
            <w:tcW w:w="558" w:type="pct"/>
            <w:shd w:val="clear" w:color="auto" w:fill="auto"/>
            <w:noWrap/>
            <w:vAlign w:val="center"/>
          </w:tcPr>
          <w:p w14:paraId="58BB1749">
            <w:pPr>
              <w:jc w:val="center"/>
              <w:rPr>
                <w:rFonts w:eastAsia="仿宋_GB2312"/>
              </w:rPr>
            </w:pPr>
            <w:r>
              <w:rPr>
                <w:rFonts w:eastAsia="仿宋_GB2312"/>
              </w:rPr>
              <w:t>红豆杉科</w:t>
            </w:r>
          </w:p>
        </w:tc>
        <w:tc>
          <w:tcPr>
            <w:tcW w:w="708" w:type="pct"/>
            <w:shd w:val="clear" w:color="auto" w:fill="auto"/>
            <w:noWrap/>
            <w:vAlign w:val="center"/>
          </w:tcPr>
          <w:p w14:paraId="76705C2B">
            <w:pPr>
              <w:jc w:val="center"/>
              <w:rPr>
                <w:rFonts w:eastAsia="仿宋_GB2312"/>
              </w:rPr>
            </w:pPr>
            <w:r>
              <w:rPr>
                <w:rFonts w:eastAsia="仿宋_GB2312"/>
              </w:rPr>
              <w:t>榧属</w:t>
            </w:r>
          </w:p>
        </w:tc>
        <w:tc>
          <w:tcPr>
            <w:tcW w:w="517" w:type="pct"/>
            <w:shd w:val="clear" w:color="auto" w:fill="auto"/>
            <w:noWrap/>
            <w:vAlign w:val="center"/>
          </w:tcPr>
          <w:p w14:paraId="684F213A">
            <w:pPr>
              <w:jc w:val="center"/>
              <w:rPr>
                <w:rFonts w:eastAsia="仿宋_GB2312"/>
              </w:rPr>
            </w:pPr>
            <w:r>
              <w:rPr>
                <w:rFonts w:eastAsia="仿宋_GB2312"/>
              </w:rPr>
              <w:t>国家二级</w:t>
            </w:r>
          </w:p>
        </w:tc>
        <w:tc>
          <w:tcPr>
            <w:tcW w:w="775" w:type="pct"/>
            <w:shd w:val="clear" w:color="auto" w:fill="auto"/>
            <w:noWrap/>
            <w:vAlign w:val="center"/>
          </w:tcPr>
          <w:p w14:paraId="62280B06">
            <w:pPr>
              <w:jc w:val="center"/>
              <w:rPr>
                <w:rFonts w:eastAsia="仿宋_GB2312"/>
              </w:rPr>
            </w:pPr>
            <w:r>
              <w:rPr>
                <w:rFonts w:eastAsia="仿宋_GB2312"/>
              </w:rPr>
              <w:t>LC</w:t>
            </w:r>
          </w:p>
        </w:tc>
      </w:tr>
      <w:tr w14:paraId="58F9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2" w:type="pct"/>
            <w:shd w:val="clear" w:color="auto" w:fill="auto"/>
            <w:noWrap/>
            <w:vAlign w:val="center"/>
          </w:tcPr>
          <w:p w14:paraId="4328FE62">
            <w:pPr>
              <w:jc w:val="center"/>
              <w:rPr>
                <w:rFonts w:eastAsia="仿宋_GB2312"/>
                <w:szCs w:val="22"/>
              </w:rPr>
            </w:pPr>
            <w:r>
              <w:rPr>
                <w:rFonts w:eastAsia="仿宋_GB2312"/>
                <w:szCs w:val="22"/>
              </w:rPr>
              <w:t>3</w:t>
            </w:r>
          </w:p>
        </w:tc>
        <w:tc>
          <w:tcPr>
            <w:tcW w:w="666" w:type="pct"/>
            <w:shd w:val="clear" w:color="auto" w:fill="auto"/>
            <w:noWrap/>
            <w:vAlign w:val="center"/>
          </w:tcPr>
          <w:p w14:paraId="437C5C61">
            <w:pPr>
              <w:jc w:val="center"/>
              <w:rPr>
                <w:rFonts w:eastAsia="仿宋_GB2312"/>
                <w:szCs w:val="22"/>
              </w:rPr>
            </w:pPr>
            <w:r>
              <w:rPr>
                <w:rFonts w:eastAsia="仿宋_GB2312"/>
                <w:szCs w:val="22"/>
              </w:rPr>
              <w:t>罗汉松</w:t>
            </w:r>
          </w:p>
        </w:tc>
        <w:tc>
          <w:tcPr>
            <w:tcW w:w="1431" w:type="pct"/>
            <w:shd w:val="clear" w:color="auto" w:fill="auto"/>
            <w:noWrap/>
            <w:vAlign w:val="center"/>
          </w:tcPr>
          <w:p w14:paraId="08ED4007">
            <w:pPr>
              <w:jc w:val="center"/>
              <w:rPr>
                <w:rFonts w:eastAsia="仿宋_GB2312"/>
                <w:i/>
                <w:iCs/>
                <w:szCs w:val="22"/>
              </w:rPr>
            </w:pPr>
            <w:r>
              <w:rPr>
                <w:rFonts w:eastAsia="仿宋_GB2312"/>
                <w:i/>
                <w:iCs/>
                <w:szCs w:val="22"/>
              </w:rPr>
              <w:t>Podocarpus macrophyllus</w:t>
            </w:r>
          </w:p>
        </w:tc>
        <w:tc>
          <w:tcPr>
            <w:tcW w:w="558" w:type="pct"/>
            <w:shd w:val="clear" w:color="auto" w:fill="auto"/>
            <w:noWrap/>
            <w:vAlign w:val="center"/>
          </w:tcPr>
          <w:p w14:paraId="5AFA02FE">
            <w:pPr>
              <w:jc w:val="center"/>
              <w:rPr>
                <w:rFonts w:eastAsia="仿宋_GB2312"/>
                <w:szCs w:val="22"/>
              </w:rPr>
            </w:pPr>
            <w:r>
              <w:rPr>
                <w:rFonts w:eastAsia="仿宋_GB2312"/>
                <w:szCs w:val="22"/>
              </w:rPr>
              <w:t>罗汉松科</w:t>
            </w:r>
          </w:p>
        </w:tc>
        <w:tc>
          <w:tcPr>
            <w:tcW w:w="708" w:type="pct"/>
            <w:shd w:val="clear" w:color="auto" w:fill="auto"/>
            <w:noWrap/>
            <w:vAlign w:val="center"/>
          </w:tcPr>
          <w:p w14:paraId="7DFD5CA9">
            <w:pPr>
              <w:jc w:val="center"/>
              <w:rPr>
                <w:rFonts w:eastAsia="仿宋_GB2312"/>
                <w:szCs w:val="22"/>
              </w:rPr>
            </w:pPr>
            <w:r>
              <w:rPr>
                <w:rFonts w:eastAsia="仿宋_GB2312"/>
                <w:szCs w:val="22"/>
              </w:rPr>
              <w:t>罗汉松属</w:t>
            </w:r>
          </w:p>
        </w:tc>
        <w:tc>
          <w:tcPr>
            <w:tcW w:w="517" w:type="pct"/>
            <w:shd w:val="clear" w:color="auto" w:fill="auto"/>
            <w:noWrap/>
            <w:vAlign w:val="center"/>
          </w:tcPr>
          <w:p w14:paraId="1320558E">
            <w:pPr>
              <w:jc w:val="center"/>
              <w:rPr>
                <w:rFonts w:eastAsia="仿宋_GB2312"/>
                <w:szCs w:val="22"/>
              </w:rPr>
            </w:pPr>
            <w:r>
              <w:rPr>
                <w:rFonts w:eastAsia="仿宋_GB2312"/>
              </w:rPr>
              <w:t>国家</w:t>
            </w:r>
            <w:r>
              <w:rPr>
                <w:rFonts w:eastAsia="仿宋_GB2312"/>
                <w:szCs w:val="22"/>
              </w:rPr>
              <w:t>二级</w:t>
            </w:r>
          </w:p>
        </w:tc>
        <w:tc>
          <w:tcPr>
            <w:tcW w:w="775" w:type="pct"/>
            <w:shd w:val="clear" w:color="auto" w:fill="auto"/>
            <w:noWrap/>
            <w:vAlign w:val="center"/>
          </w:tcPr>
          <w:p w14:paraId="51CBB63B">
            <w:pPr>
              <w:jc w:val="center"/>
              <w:rPr>
                <w:rFonts w:eastAsia="仿宋_GB2312"/>
                <w:szCs w:val="22"/>
              </w:rPr>
            </w:pPr>
            <w:r>
              <w:rPr>
                <w:rFonts w:eastAsia="仿宋_GB2312"/>
                <w:szCs w:val="22"/>
              </w:rPr>
              <w:t>VU</w:t>
            </w:r>
          </w:p>
        </w:tc>
      </w:tr>
      <w:tr w14:paraId="5F99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2" w:type="pct"/>
            <w:shd w:val="clear" w:color="auto" w:fill="auto"/>
            <w:noWrap/>
            <w:vAlign w:val="center"/>
          </w:tcPr>
          <w:p w14:paraId="396EB1EA">
            <w:pPr>
              <w:jc w:val="center"/>
              <w:rPr>
                <w:rFonts w:eastAsia="仿宋_GB2312"/>
                <w:szCs w:val="22"/>
              </w:rPr>
            </w:pPr>
            <w:r>
              <w:rPr>
                <w:rFonts w:eastAsia="仿宋_GB2312"/>
                <w:szCs w:val="22"/>
              </w:rPr>
              <w:t>4</w:t>
            </w:r>
          </w:p>
        </w:tc>
        <w:tc>
          <w:tcPr>
            <w:tcW w:w="666" w:type="pct"/>
            <w:shd w:val="clear" w:color="auto" w:fill="auto"/>
            <w:noWrap/>
            <w:vAlign w:val="center"/>
          </w:tcPr>
          <w:p w14:paraId="45BC1A58">
            <w:pPr>
              <w:jc w:val="center"/>
              <w:rPr>
                <w:rFonts w:eastAsia="仿宋_GB2312"/>
                <w:szCs w:val="22"/>
              </w:rPr>
            </w:pPr>
            <w:r>
              <w:rPr>
                <w:rFonts w:eastAsia="仿宋_GB2312"/>
                <w:szCs w:val="22"/>
              </w:rPr>
              <w:t>苏铁</w:t>
            </w:r>
          </w:p>
        </w:tc>
        <w:tc>
          <w:tcPr>
            <w:tcW w:w="1431" w:type="pct"/>
            <w:shd w:val="clear" w:color="auto" w:fill="auto"/>
            <w:noWrap/>
            <w:vAlign w:val="center"/>
          </w:tcPr>
          <w:p w14:paraId="5F385EB2">
            <w:pPr>
              <w:jc w:val="center"/>
              <w:rPr>
                <w:rFonts w:eastAsia="仿宋_GB2312"/>
                <w:i/>
                <w:iCs/>
                <w:szCs w:val="22"/>
              </w:rPr>
            </w:pPr>
            <w:r>
              <w:rPr>
                <w:rFonts w:eastAsia="仿宋_GB2312"/>
                <w:i/>
                <w:iCs/>
                <w:szCs w:val="22"/>
              </w:rPr>
              <w:t>Cycas revoluta</w:t>
            </w:r>
          </w:p>
        </w:tc>
        <w:tc>
          <w:tcPr>
            <w:tcW w:w="558" w:type="pct"/>
            <w:shd w:val="clear" w:color="auto" w:fill="auto"/>
            <w:noWrap/>
            <w:vAlign w:val="center"/>
          </w:tcPr>
          <w:p w14:paraId="3F62AFE0">
            <w:pPr>
              <w:jc w:val="center"/>
              <w:rPr>
                <w:rFonts w:eastAsia="仿宋_GB2312"/>
                <w:szCs w:val="22"/>
              </w:rPr>
            </w:pPr>
            <w:r>
              <w:rPr>
                <w:rFonts w:eastAsia="仿宋_GB2312"/>
                <w:szCs w:val="22"/>
              </w:rPr>
              <w:t>苏铁科</w:t>
            </w:r>
          </w:p>
        </w:tc>
        <w:tc>
          <w:tcPr>
            <w:tcW w:w="708" w:type="pct"/>
            <w:shd w:val="clear" w:color="auto" w:fill="auto"/>
            <w:noWrap/>
            <w:vAlign w:val="center"/>
          </w:tcPr>
          <w:p w14:paraId="33791037">
            <w:pPr>
              <w:jc w:val="center"/>
              <w:rPr>
                <w:rFonts w:eastAsia="仿宋_GB2312"/>
                <w:szCs w:val="22"/>
              </w:rPr>
            </w:pPr>
            <w:r>
              <w:rPr>
                <w:rFonts w:eastAsia="仿宋_GB2312"/>
                <w:szCs w:val="22"/>
              </w:rPr>
              <w:t>苏铁属</w:t>
            </w:r>
          </w:p>
        </w:tc>
        <w:tc>
          <w:tcPr>
            <w:tcW w:w="517" w:type="pct"/>
            <w:shd w:val="clear" w:color="auto" w:fill="auto"/>
            <w:noWrap/>
            <w:vAlign w:val="center"/>
          </w:tcPr>
          <w:p w14:paraId="22DDF5E1">
            <w:pPr>
              <w:jc w:val="center"/>
              <w:rPr>
                <w:rFonts w:eastAsia="仿宋_GB2312"/>
                <w:szCs w:val="22"/>
              </w:rPr>
            </w:pPr>
            <w:r>
              <w:rPr>
                <w:rFonts w:eastAsia="仿宋_GB2312"/>
              </w:rPr>
              <w:t>国家</w:t>
            </w:r>
            <w:r>
              <w:rPr>
                <w:rFonts w:eastAsia="仿宋_GB2312"/>
                <w:szCs w:val="22"/>
              </w:rPr>
              <w:t>一级</w:t>
            </w:r>
          </w:p>
        </w:tc>
        <w:tc>
          <w:tcPr>
            <w:tcW w:w="775" w:type="pct"/>
            <w:shd w:val="clear" w:color="auto" w:fill="auto"/>
            <w:noWrap/>
            <w:vAlign w:val="center"/>
          </w:tcPr>
          <w:p w14:paraId="2E5F06A7">
            <w:pPr>
              <w:jc w:val="center"/>
              <w:rPr>
                <w:rFonts w:eastAsia="仿宋_GB2312"/>
                <w:szCs w:val="22"/>
              </w:rPr>
            </w:pPr>
            <w:r>
              <w:rPr>
                <w:rFonts w:eastAsia="仿宋_GB2312"/>
                <w:szCs w:val="22"/>
              </w:rPr>
              <w:t>CR</w:t>
            </w:r>
          </w:p>
        </w:tc>
      </w:tr>
      <w:tr w14:paraId="0373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744149CB">
            <w:pPr>
              <w:jc w:val="center"/>
              <w:rPr>
                <w:rFonts w:eastAsia="仿宋_GB2312"/>
                <w:szCs w:val="22"/>
              </w:rPr>
            </w:pPr>
            <w:r>
              <w:rPr>
                <w:rFonts w:eastAsia="仿宋_GB2312"/>
                <w:szCs w:val="22"/>
              </w:rPr>
              <w:t>5</w:t>
            </w:r>
          </w:p>
        </w:tc>
        <w:tc>
          <w:tcPr>
            <w:tcW w:w="666" w:type="pct"/>
            <w:shd w:val="clear" w:color="auto" w:fill="auto"/>
            <w:noWrap/>
            <w:vAlign w:val="center"/>
          </w:tcPr>
          <w:p w14:paraId="3338C681">
            <w:pPr>
              <w:jc w:val="center"/>
              <w:rPr>
                <w:rFonts w:eastAsia="仿宋_GB2312"/>
                <w:szCs w:val="22"/>
              </w:rPr>
            </w:pPr>
            <w:r>
              <w:rPr>
                <w:rFonts w:eastAsia="仿宋_GB2312"/>
                <w:szCs w:val="22"/>
              </w:rPr>
              <w:t>银杏</w:t>
            </w:r>
          </w:p>
        </w:tc>
        <w:tc>
          <w:tcPr>
            <w:tcW w:w="1431" w:type="pct"/>
            <w:shd w:val="clear" w:color="auto" w:fill="auto"/>
            <w:noWrap/>
            <w:vAlign w:val="center"/>
          </w:tcPr>
          <w:p w14:paraId="6D0E184A">
            <w:pPr>
              <w:jc w:val="center"/>
              <w:rPr>
                <w:rFonts w:eastAsia="仿宋_GB2312"/>
                <w:i/>
                <w:iCs/>
                <w:szCs w:val="22"/>
              </w:rPr>
            </w:pPr>
            <w:r>
              <w:rPr>
                <w:rFonts w:eastAsia="仿宋_GB2312"/>
                <w:i/>
                <w:iCs/>
                <w:szCs w:val="22"/>
              </w:rPr>
              <w:t>Ginkgo biloba</w:t>
            </w:r>
          </w:p>
        </w:tc>
        <w:tc>
          <w:tcPr>
            <w:tcW w:w="558" w:type="pct"/>
            <w:shd w:val="clear" w:color="auto" w:fill="auto"/>
            <w:noWrap/>
            <w:vAlign w:val="center"/>
          </w:tcPr>
          <w:p w14:paraId="11528C02">
            <w:pPr>
              <w:jc w:val="center"/>
              <w:rPr>
                <w:rFonts w:eastAsia="仿宋_GB2312"/>
                <w:szCs w:val="22"/>
              </w:rPr>
            </w:pPr>
            <w:r>
              <w:rPr>
                <w:rFonts w:eastAsia="仿宋_GB2312"/>
                <w:szCs w:val="22"/>
              </w:rPr>
              <w:t>银杏科</w:t>
            </w:r>
          </w:p>
        </w:tc>
        <w:tc>
          <w:tcPr>
            <w:tcW w:w="708" w:type="pct"/>
            <w:shd w:val="clear" w:color="auto" w:fill="auto"/>
            <w:noWrap/>
            <w:vAlign w:val="center"/>
          </w:tcPr>
          <w:p w14:paraId="09661550">
            <w:pPr>
              <w:jc w:val="center"/>
              <w:rPr>
                <w:rFonts w:eastAsia="仿宋_GB2312"/>
                <w:szCs w:val="22"/>
              </w:rPr>
            </w:pPr>
            <w:r>
              <w:rPr>
                <w:rFonts w:eastAsia="仿宋_GB2312"/>
                <w:szCs w:val="22"/>
              </w:rPr>
              <w:t>银杏属</w:t>
            </w:r>
          </w:p>
        </w:tc>
        <w:tc>
          <w:tcPr>
            <w:tcW w:w="517" w:type="pct"/>
            <w:shd w:val="clear" w:color="auto" w:fill="auto"/>
            <w:noWrap/>
            <w:vAlign w:val="center"/>
          </w:tcPr>
          <w:p w14:paraId="2C860CFD">
            <w:pPr>
              <w:jc w:val="center"/>
              <w:rPr>
                <w:rFonts w:eastAsia="仿宋_GB2312"/>
                <w:szCs w:val="22"/>
              </w:rPr>
            </w:pPr>
            <w:r>
              <w:rPr>
                <w:rFonts w:eastAsia="仿宋_GB2312"/>
              </w:rPr>
              <w:t>国家</w:t>
            </w:r>
            <w:r>
              <w:rPr>
                <w:rFonts w:eastAsia="仿宋_GB2312"/>
                <w:szCs w:val="22"/>
              </w:rPr>
              <w:t>一级</w:t>
            </w:r>
          </w:p>
        </w:tc>
        <w:tc>
          <w:tcPr>
            <w:tcW w:w="775" w:type="pct"/>
            <w:shd w:val="clear" w:color="auto" w:fill="auto"/>
            <w:noWrap/>
            <w:vAlign w:val="center"/>
          </w:tcPr>
          <w:p w14:paraId="00BB9B91">
            <w:pPr>
              <w:jc w:val="center"/>
              <w:rPr>
                <w:rFonts w:eastAsia="仿宋_GB2312"/>
                <w:szCs w:val="22"/>
              </w:rPr>
            </w:pPr>
            <w:r>
              <w:rPr>
                <w:rFonts w:eastAsia="仿宋_GB2312"/>
                <w:szCs w:val="22"/>
              </w:rPr>
              <w:t>CR</w:t>
            </w:r>
          </w:p>
        </w:tc>
      </w:tr>
      <w:tr w14:paraId="44CA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5EDEF19C">
            <w:pPr>
              <w:jc w:val="center"/>
              <w:rPr>
                <w:rFonts w:eastAsia="仿宋_GB2312"/>
                <w:szCs w:val="22"/>
              </w:rPr>
            </w:pPr>
            <w:r>
              <w:rPr>
                <w:rFonts w:eastAsia="仿宋_GB2312"/>
                <w:szCs w:val="22"/>
              </w:rPr>
              <w:t>6</w:t>
            </w:r>
          </w:p>
        </w:tc>
        <w:tc>
          <w:tcPr>
            <w:tcW w:w="666" w:type="pct"/>
            <w:shd w:val="clear" w:color="auto" w:fill="auto"/>
            <w:noWrap/>
            <w:vAlign w:val="center"/>
          </w:tcPr>
          <w:p w14:paraId="795AB74F">
            <w:pPr>
              <w:jc w:val="center"/>
              <w:rPr>
                <w:rFonts w:eastAsia="仿宋_GB2312"/>
                <w:szCs w:val="22"/>
              </w:rPr>
            </w:pPr>
            <w:r>
              <w:rPr>
                <w:rFonts w:eastAsia="仿宋_GB2312"/>
                <w:szCs w:val="22"/>
              </w:rPr>
              <w:t>野大豆</w:t>
            </w:r>
          </w:p>
        </w:tc>
        <w:tc>
          <w:tcPr>
            <w:tcW w:w="1431" w:type="pct"/>
            <w:shd w:val="clear" w:color="auto" w:fill="auto"/>
            <w:noWrap/>
            <w:vAlign w:val="center"/>
          </w:tcPr>
          <w:p w14:paraId="062A515E">
            <w:pPr>
              <w:jc w:val="center"/>
              <w:rPr>
                <w:rFonts w:eastAsia="仿宋_GB2312"/>
                <w:i/>
                <w:iCs/>
                <w:szCs w:val="22"/>
              </w:rPr>
            </w:pPr>
            <w:r>
              <w:rPr>
                <w:rFonts w:eastAsia="仿宋_GB2312"/>
                <w:i/>
                <w:iCs/>
                <w:szCs w:val="22"/>
              </w:rPr>
              <w:t>Glycine soja</w:t>
            </w:r>
          </w:p>
        </w:tc>
        <w:tc>
          <w:tcPr>
            <w:tcW w:w="558" w:type="pct"/>
            <w:shd w:val="clear" w:color="auto" w:fill="auto"/>
            <w:noWrap/>
            <w:vAlign w:val="center"/>
          </w:tcPr>
          <w:p w14:paraId="0916A0BF">
            <w:pPr>
              <w:jc w:val="center"/>
              <w:rPr>
                <w:rFonts w:eastAsia="仿宋_GB2312"/>
                <w:szCs w:val="22"/>
              </w:rPr>
            </w:pPr>
            <w:r>
              <w:rPr>
                <w:rFonts w:eastAsia="仿宋_GB2312"/>
                <w:szCs w:val="22"/>
              </w:rPr>
              <w:t>豆科</w:t>
            </w:r>
          </w:p>
        </w:tc>
        <w:tc>
          <w:tcPr>
            <w:tcW w:w="708" w:type="pct"/>
            <w:shd w:val="clear" w:color="auto" w:fill="auto"/>
            <w:noWrap/>
            <w:vAlign w:val="center"/>
          </w:tcPr>
          <w:p w14:paraId="04FDF6DE">
            <w:pPr>
              <w:jc w:val="center"/>
              <w:rPr>
                <w:rFonts w:eastAsia="仿宋_GB2312"/>
                <w:szCs w:val="22"/>
              </w:rPr>
            </w:pPr>
            <w:r>
              <w:rPr>
                <w:rFonts w:eastAsia="仿宋_GB2312"/>
                <w:szCs w:val="22"/>
              </w:rPr>
              <w:t>大豆属</w:t>
            </w:r>
          </w:p>
        </w:tc>
        <w:tc>
          <w:tcPr>
            <w:tcW w:w="517" w:type="pct"/>
            <w:shd w:val="clear" w:color="auto" w:fill="auto"/>
            <w:noWrap/>
            <w:vAlign w:val="center"/>
          </w:tcPr>
          <w:p w14:paraId="16AB415C">
            <w:pPr>
              <w:jc w:val="center"/>
              <w:rPr>
                <w:rFonts w:eastAsia="仿宋_GB2312"/>
                <w:szCs w:val="22"/>
              </w:rPr>
            </w:pPr>
            <w:r>
              <w:rPr>
                <w:rFonts w:eastAsia="仿宋_GB2312"/>
              </w:rPr>
              <w:t>国家</w:t>
            </w:r>
            <w:r>
              <w:rPr>
                <w:rFonts w:eastAsia="仿宋_GB2312"/>
                <w:szCs w:val="22"/>
              </w:rPr>
              <w:t xml:space="preserve">二级 </w:t>
            </w:r>
          </w:p>
        </w:tc>
        <w:tc>
          <w:tcPr>
            <w:tcW w:w="775" w:type="pct"/>
            <w:shd w:val="clear" w:color="auto" w:fill="auto"/>
            <w:noWrap/>
            <w:vAlign w:val="center"/>
          </w:tcPr>
          <w:p w14:paraId="59A4F67C">
            <w:pPr>
              <w:jc w:val="center"/>
              <w:rPr>
                <w:rFonts w:eastAsia="仿宋_GB2312"/>
                <w:szCs w:val="22"/>
              </w:rPr>
            </w:pPr>
            <w:r>
              <w:rPr>
                <w:rFonts w:eastAsia="仿宋_GB2312"/>
              </w:rPr>
              <w:t>LC</w:t>
            </w:r>
          </w:p>
        </w:tc>
      </w:tr>
      <w:tr w14:paraId="259C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11FD132B">
            <w:pPr>
              <w:jc w:val="center"/>
              <w:rPr>
                <w:rFonts w:eastAsia="仿宋_GB2312"/>
                <w:szCs w:val="22"/>
              </w:rPr>
            </w:pPr>
            <w:r>
              <w:rPr>
                <w:rFonts w:eastAsia="仿宋_GB2312"/>
                <w:szCs w:val="22"/>
              </w:rPr>
              <w:t>7</w:t>
            </w:r>
          </w:p>
        </w:tc>
        <w:tc>
          <w:tcPr>
            <w:tcW w:w="666" w:type="pct"/>
            <w:shd w:val="clear" w:color="auto" w:fill="auto"/>
            <w:noWrap/>
            <w:vAlign w:val="center"/>
          </w:tcPr>
          <w:p w14:paraId="0AC1459D">
            <w:pPr>
              <w:jc w:val="center"/>
              <w:rPr>
                <w:rFonts w:eastAsia="仿宋_GB2312"/>
                <w:szCs w:val="22"/>
              </w:rPr>
            </w:pPr>
            <w:r>
              <w:rPr>
                <w:rFonts w:eastAsia="仿宋_GB2312"/>
                <w:szCs w:val="22"/>
              </w:rPr>
              <w:t>中华猕猴桃</w:t>
            </w:r>
          </w:p>
        </w:tc>
        <w:tc>
          <w:tcPr>
            <w:tcW w:w="1431" w:type="pct"/>
            <w:shd w:val="clear" w:color="auto" w:fill="auto"/>
            <w:noWrap/>
            <w:vAlign w:val="center"/>
          </w:tcPr>
          <w:p w14:paraId="367D25F4">
            <w:pPr>
              <w:jc w:val="center"/>
              <w:rPr>
                <w:rFonts w:eastAsia="仿宋_GB2312"/>
                <w:i/>
                <w:iCs/>
                <w:szCs w:val="22"/>
              </w:rPr>
            </w:pPr>
            <w:r>
              <w:rPr>
                <w:rFonts w:eastAsia="仿宋_GB2312"/>
                <w:i/>
                <w:iCs/>
                <w:szCs w:val="22"/>
              </w:rPr>
              <w:t>Actinidia chinensis</w:t>
            </w:r>
          </w:p>
        </w:tc>
        <w:tc>
          <w:tcPr>
            <w:tcW w:w="558" w:type="pct"/>
            <w:shd w:val="clear" w:color="auto" w:fill="auto"/>
            <w:noWrap/>
            <w:vAlign w:val="center"/>
          </w:tcPr>
          <w:p w14:paraId="2A590942">
            <w:pPr>
              <w:jc w:val="center"/>
              <w:rPr>
                <w:rFonts w:eastAsia="仿宋_GB2312"/>
                <w:szCs w:val="22"/>
              </w:rPr>
            </w:pPr>
            <w:r>
              <w:rPr>
                <w:rFonts w:eastAsia="仿宋_GB2312"/>
                <w:szCs w:val="22"/>
              </w:rPr>
              <w:t>猕猴桃科</w:t>
            </w:r>
          </w:p>
        </w:tc>
        <w:tc>
          <w:tcPr>
            <w:tcW w:w="708" w:type="pct"/>
            <w:shd w:val="clear" w:color="auto" w:fill="auto"/>
            <w:noWrap/>
            <w:vAlign w:val="center"/>
          </w:tcPr>
          <w:p w14:paraId="337D750B">
            <w:pPr>
              <w:jc w:val="center"/>
              <w:rPr>
                <w:rFonts w:eastAsia="仿宋_GB2312"/>
                <w:szCs w:val="22"/>
              </w:rPr>
            </w:pPr>
            <w:r>
              <w:rPr>
                <w:rFonts w:eastAsia="仿宋_GB2312"/>
                <w:szCs w:val="22"/>
              </w:rPr>
              <w:t>猕猴桃属</w:t>
            </w:r>
          </w:p>
        </w:tc>
        <w:tc>
          <w:tcPr>
            <w:tcW w:w="517" w:type="pct"/>
            <w:shd w:val="clear" w:color="auto" w:fill="auto"/>
            <w:noWrap/>
            <w:vAlign w:val="center"/>
          </w:tcPr>
          <w:p w14:paraId="2735AEBC">
            <w:pPr>
              <w:jc w:val="center"/>
              <w:rPr>
                <w:rFonts w:eastAsia="仿宋_GB2312"/>
                <w:szCs w:val="22"/>
              </w:rPr>
            </w:pPr>
            <w:r>
              <w:rPr>
                <w:rFonts w:eastAsia="仿宋_GB2312"/>
              </w:rPr>
              <w:t>国家</w:t>
            </w:r>
            <w:r>
              <w:rPr>
                <w:rFonts w:eastAsia="仿宋_GB2312"/>
                <w:szCs w:val="22"/>
              </w:rPr>
              <w:t>二级</w:t>
            </w:r>
          </w:p>
        </w:tc>
        <w:tc>
          <w:tcPr>
            <w:tcW w:w="775" w:type="pct"/>
            <w:shd w:val="clear" w:color="auto" w:fill="auto"/>
            <w:noWrap/>
            <w:vAlign w:val="center"/>
          </w:tcPr>
          <w:p w14:paraId="098B411D">
            <w:pPr>
              <w:jc w:val="center"/>
              <w:rPr>
                <w:rFonts w:eastAsia="仿宋_GB2312"/>
                <w:szCs w:val="22"/>
              </w:rPr>
            </w:pPr>
            <w:r>
              <w:rPr>
                <w:rFonts w:eastAsia="仿宋_GB2312"/>
              </w:rPr>
              <w:t>LC</w:t>
            </w:r>
          </w:p>
        </w:tc>
      </w:tr>
      <w:tr w14:paraId="7AB0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2981FE18">
            <w:pPr>
              <w:jc w:val="center"/>
              <w:rPr>
                <w:rFonts w:eastAsia="仿宋_GB2312"/>
                <w:szCs w:val="22"/>
              </w:rPr>
            </w:pPr>
            <w:r>
              <w:rPr>
                <w:rFonts w:eastAsia="仿宋_GB2312"/>
                <w:szCs w:val="22"/>
              </w:rPr>
              <w:t>8</w:t>
            </w:r>
          </w:p>
        </w:tc>
        <w:tc>
          <w:tcPr>
            <w:tcW w:w="666" w:type="pct"/>
            <w:shd w:val="clear" w:color="auto" w:fill="auto"/>
            <w:noWrap/>
            <w:vAlign w:val="center"/>
          </w:tcPr>
          <w:p w14:paraId="5F978CB3">
            <w:pPr>
              <w:jc w:val="center"/>
              <w:rPr>
                <w:rFonts w:eastAsia="仿宋_GB2312"/>
                <w:szCs w:val="22"/>
              </w:rPr>
            </w:pPr>
            <w:r>
              <w:rPr>
                <w:rFonts w:eastAsia="仿宋_GB2312"/>
                <w:szCs w:val="22"/>
              </w:rPr>
              <w:t>胡桃</w:t>
            </w:r>
          </w:p>
        </w:tc>
        <w:tc>
          <w:tcPr>
            <w:tcW w:w="1431" w:type="pct"/>
            <w:shd w:val="clear" w:color="auto" w:fill="auto"/>
            <w:noWrap/>
            <w:vAlign w:val="center"/>
          </w:tcPr>
          <w:p w14:paraId="33D3B1EC">
            <w:pPr>
              <w:jc w:val="center"/>
              <w:rPr>
                <w:rFonts w:eastAsia="仿宋_GB2312"/>
                <w:i/>
                <w:iCs/>
                <w:szCs w:val="22"/>
              </w:rPr>
            </w:pPr>
            <w:r>
              <w:rPr>
                <w:rFonts w:eastAsia="仿宋_GB2312"/>
                <w:i/>
                <w:iCs/>
                <w:szCs w:val="22"/>
              </w:rPr>
              <w:t>Juglans regia</w:t>
            </w:r>
          </w:p>
        </w:tc>
        <w:tc>
          <w:tcPr>
            <w:tcW w:w="558" w:type="pct"/>
            <w:shd w:val="clear" w:color="auto" w:fill="auto"/>
            <w:noWrap/>
            <w:vAlign w:val="center"/>
          </w:tcPr>
          <w:p w14:paraId="315CFE40">
            <w:pPr>
              <w:jc w:val="center"/>
              <w:rPr>
                <w:rFonts w:eastAsia="仿宋_GB2312"/>
                <w:szCs w:val="22"/>
              </w:rPr>
            </w:pPr>
            <w:r>
              <w:rPr>
                <w:rFonts w:eastAsia="仿宋_GB2312"/>
                <w:szCs w:val="22"/>
              </w:rPr>
              <w:t>胡桃科</w:t>
            </w:r>
          </w:p>
        </w:tc>
        <w:tc>
          <w:tcPr>
            <w:tcW w:w="708" w:type="pct"/>
            <w:shd w:val="clear" w:color="auto" w:fill="auto"/>
            <w:noWrap/>
            <w:vAlign w:val="center"/>
          </w:tcPr>
          <w:p w14:paraId="57DC64C3">
            <w:pPr>
              <w:jc w:val="center"/>
              <w:rPr>
                <w:rFonts w:eastAsia="仿宋_GB2312"/>
                <w:szCs w:val="22"/>
              </w:rPr>
            </w:pPr>
            <w:r>
              <w:rPr>
                <w:rFonts w:eastAsia="仿宋_GB2312"/>
                <w:szCs w:val="22"/>
              </w:rPr>
              <w:t>胡桃属</w:t>
            </w:r>
          </w:p>
        </w:tc>
        <w:tc>
          <w:tcPr>
            <w:tcW w:w="517" w:type="pct"/>
            <w:shd w:val="clear" w:color="auto" w:fill="auto"/>
            <w:noWrap/>
            <w:vAlign w:val="center"/>
          </w:tcPr>
          <w:p w14:paraId="69B47CCE">
            <w:pPr>
              <w:jc w:val="center"/>
              <w:rPr>
                <w:rFonts w:eastAsia="仿宋_GB2312"/>
                <w:szCs w:val="22"/>
              </w:rPr>
            </w:pPr>
            <w:r>
              <w:rPr>
                <w:rFonts w:eastAsia="仿宋_GB2312"/>
                <w:szCs w:val="22"/>
              </w:rPr>
              <w:t>/</w:t>
            </w:r>
          </w:p>
        </w:tc>
        <w:tc>
          <w:tcPr>
            <w:tcW w:w="775" w:type="pct"/>
            <w:shd w:val="clear" w:color="auto" w:fill="auto"/>
            <w:noWrap/>
            <w:vAlign w:val="center"/>
          </w:tcPr>
          <w:p w14:paraId="1F94650F">
            <w:pPr>
              <w:jc w:val="center"/>
              <w:rPr>
                <w:rFonts w:eastAsia="仿宋_GB2312"/>
                <w:szCs w:val="22"/>
              </w:rPr>
            </w:pPr>
            <w:r>
              <w:rPr>
                <w:rFonts w:eastAsia="仿宋_GB2312"/>
              </w:rPr>
              <w:t>VU</w:t>
            </w:r>
          </w:p>
        </w:tc>
      </w:tr>
      <w:tr w14:paraId="6BCF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43A934E6">
            <w:pPr>
              <w:jc w:val="center"/>
              <w:rPr>
                <w:rFonts w:eastAsia="仿宋_GB2312"/>
                <w:szCs w:val="22"/>
              </w:rPr>
            </w:pPr>
            <w:r>
              <w:rPr>
                <w:rFonts w:eastAsia="仿宋_GB2312"/>
                <w:szCs w:val="22"/>
              </w:rPr>
              <w:t>9</w:t>
            </w:r>
          </w:p>
        </w:tc>
        <w:tc>
          <w:tcPr>
            <w:tcW w:w="666" w:type="pct"/>
            <w:shd w:val="clear" w:color="auto" w:fill="auto"/>
            <w:noWrap/>
            <w:vAlign w:val="center"/>
          </w:tcPr>
          <w:p w14:paraId="15EE20EE">
            <w:pPr>
              <w:jc w:val="center"/>
              <w:rPr>
                <w:rFonts w:eastAsia="仿宋_GB2312"/>
                <w:szCs w:val="22"/>
              </w:rPr>
            </w:pPr>
            <w:r>
              <w:rPr>
                <w:rFonts w:eastAsia="仿宋_GB2312"/>
                <w:szCs w:val="22"/>
              </w:rPr>
              <w:t>紫玉兰</w:t>
            </w:r>
          </w:p>
        </w:tc>
        <w:tc>
          <w:tcPr>
            <w:tcW w:w="1431" w:type="pct"/>
            <w:shd w:val="clear" w:color="auto" w:fill="auto"/>
            <w:noWrap/>
            <w:vAlign w:val="center"/>
          </w:tcPr>
          <w:p w14:paraId="3AFF0108">
            <w:pPr>
              <w:jc w:val="center"/>
              <w:rPr>
                <w:rFonts w:eastAsia="仿宋_GB2312"/>
                <w:i/>
                <w:iCs/>
                <w:szCs w:val="22"/>
              </w:rPr>
            </w:pPr>
            <w:r>
              <w:rPr>
                <w:rFonts w:eastAsia="仿宋_GB2312"/>
                <w:i/>
                <w:iCs/>
                <w:szCs w:val="22"/>
              </w:rPr>
              <w:t>Magnolia liliflora</w:t>
            </w:r>
          </w:p>
        </w:tc>
        <w:tc>
          <w:tcPr>
            <w:tcW w:w="558" w:type="pct"/>
            <w:shd w:val="clear" w:color="auto" w:fill="auto"/>
            <w:noWrap/>
            <w:vAlign w:val="center"/>
          </w:tcPr>
          <w:p w14:paraId="0920D21D">
            <w:pPr>
              <w:jc w:val="center"/>
              <w:rPr>
                <w:rFonts w:eastAsia="仿宋_GB2312"/>
                <w:szCs w:val="22"/>
              </w:rPr>
            </w:pPr>
            <w:r>
              <w:rPr>
                <w:rFonts w:eastAsia="仿宋_GB2312"/>
                <w:szCs w:val="22"/>
              </w:rPr>
              <w:t>木兰科</w:t>
            </w:r>
          </w:p>
        </w:tc>
        <w:tc>
          <w:tcPr>
            <w:tcW w:w="708" w:type="pct"/>
            <w:shd w:val="clear" w:color="auto" w:fill="auto"/>
            <w:noWrap/>
            <w:vAlign w:val="center"/>
          </w:tcPr>
          <w:p w14:paraId="39615EBE">
            <w:pPr>
              <w:jc w:val="center"/>
              <w:rPr>
                <w:rFonts w:eastAsia="仿宋_GB2312"/>
                <w:szCs w:val="22"/>
              </w:rPr>
            </w:pPr>
            <w:r>
              <w:rPr>
                <w:rFonts w:eastAsia="仿宋_GB2312"/>
                <w:szCs w:val="22"/>
              </w:rPr>
              <w:t>北美木兰属</w:t>
            </w:r>
          </w:p>
        </w:tc>
        <w:tc>
          <w:tcPr>
            <w:tcW w:w="517" w:type="pct"/>
            <w:shd w:val="clear" w:color="auto" w:fill="auto"/>
            <w:noWrap/>
            <w:vAlign w:val="center"/>
          </w:tcPr>
          <w:p w14:paraId="1F608E23">
            <w:pPr>
              <w:jc w:val="center"/>
              <w:rPr>
                <w:rFonts w:eastAsia="仿宋_GB2312"/>
                <w:szCs w:val="22"/>
              </w:rPr>
            </w:pPr>
            <w:r>
              <w:rPr>
                <w:rFonts w:eastAsia="仿宋_GB2312"/>
                <w:szCs w:val="22"/>
              </w:rPr>
              <w:t>/</w:t>
            </w:r>
          </w:p>
        </w:tc>
        <w:tc>
          <w:tcPr>
            <w:tcW w:w="775" w:type="pct"/>
            <w:shd w:val="clear" w:color="auto" w:fill="auto"/>
            <w:noWrap/>
            <w:vAlign w:val="center"/>
          </w:tcPr>
          <w:p w14:paraId="1C002DE9">
            <w:pPr>
              <w:jc w:val="center"/>
              <w:rPr>
                <w:rFonts w:eastAsia="仿宋_GB2312"/>
                <w:szCs w:val="22"/>
              </w:rPr>
            </w:pPr>
            <w:r>
              <w:rPr>
                <w:rFonts w:eastAsia="仿宋_GB2312"/>
              </w:rPr>
              <w:t>VU</w:t>
            </w:r>
          </w:p>
        </w:tc>
      </w:tr>
      <w:tr w14:paraId="1557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3D56B184">
            <w:pPr>
              <w:jc w:val="center"/>
              <w:rPr>
                <w:rFonts w:eastAsia="仿宋_GB2312"/>
                <w:szCs w:val="22"/>
              </w:rPr>
            </w:pPr>
            <w:r>
              <w:rPr>
                <w:rFonts w:eastAsia="仿宋_GB2312"/>
                <w:szCs w:val="22"/>
              </w:rPr>
              <w:t>10</w:t>
            </w:r>
          </w:p>
        </w:tc>
        <w:tc>
          <w:tcPr>
            <w:tcW w:w="666" w:type="pct"/>
            <w:shd w:val="clear" w:color="auto" w:fill="auto"/>
            <w:noWrap/>
            <w:vAlign w:val="center"/>
          </w:tcPr>
          <w:p w14:paraId="32FFAA65">
            <w:pPr>
              <w:jc w:val="center"/>
              <w:rPr>
                <w:rFonts w:eastAsia="仿宋_GB2312"/>
                <w:szCs w:val="22"/>
              </w:rPr>
            </w:pPr>
            <w:r>
              <w:rPr>
                <w:rFonts w:eastAsia="仿宋_GB2312"/>
                <w:szCs w:val="22"/>
              </w:rPr>
              <w:t>鹅掌楸</w:t>
            </w:r>
          </w:p>
        </w:tc>
        <w:tc>
          <w:tcPr>
            <w:tcW w:w="1431" w:type="pct"/>
            <w:shd w:val="clear" w:color="auto" w:fill="auto"/>
            <w:noWrap/>
            <w:vAlign w:val="center"/>
          </w:tcPr>
          <w:p w14:paraId="220230CE">
            <w:pPr>
              <w:jc w:val="center"/>
              <w:rPr>
                <w:rFonts w:eastAsia="仿宋_GB2312"/>
                <w:i/>
                <w:iCs/>
                <w:szCs w:val="22"/>
              </w:rPr>
            </w:pPr>
            <w:r>
              <w:rPr>
                <w:rFonts w:eastAsia="仿宋_GB2312"/>
                <w:i/>
                <w:iCs/>
                <w:szCs w:val="22"/>
              </w:rPr>
              <w:t>Liriodendron chinense</w:t>
            </w:r>
          </w:p>
        </w:tc>
        <w:tc>
          <w:tcPr>
            <w:tcW w:w="558" w:type="pct"/>
            <w:shd w:val="clear" w:color="auto" w:fill="auto"/>
            <w:noWrap/>
            <w:vAlign w:val="center"/>
          </w:tcPr>
          <w:p w14:paraId="606AC62E">
            <w:pPr>
              <w:jc w:val="center"/>
              <w:rPr>
                <w:rFonts w:eastAsia="仿宋_GB2312"/>
                <w:szCs w:val="22"/>
              </w:rPr>
            </w:pPr>
            <w:r>
              <w:rPr>
                <w:rFonts w:eastAsia="仿宋_GB2312"/>
                <w:szCs w:val="22"/>
              </w:rPr>
              <w:t>木兰科</w:t>
            </w:r>
          </w:p>
        </w:tc>
        <w:tc>
          <w:tcPr>
            <w:tcW w:w="708" w:type="pct"/>
            <w:shd w:val="clear" w:color="auto" w:fill="auto"/>
            <w:noWrap/>
            <w:vAlign w:val="center"/>
          </w:tcPr>
          <w:p w14:paraId="7A83CB93">
            <w:pPr>
              <w:jc w:val="center"/>
              <w:rPr>
                <w:rFonts w:eastAsia="仿宋_GB2312"/>
                <w:szCs w:val="22"/>
              </w:rPr>
            </w:pPr>
            <w:r>
              <w:rPr>
                <w:rFonts w:eastAsia="仿宋_GB2312"/>
                <w:szCs w:val="22"/>
              </w:rPr>
              <w:t>鹅掌楸属</w:t>
            </w:r>
          </w:p>
        </w:tc>
        <w:tc>
          <w:tcPr>
            <w:tcW w:w="517" w:type="pct"/>
            <w:shd w:val="clear" w:color="auto" w:fill="auto"/>
            <w:noWrap/>
            <w:vAlign w:val="center"/>
          </w:tcPr>
          <w:p w14:paraId="469590C9">
            <w:pPr>
              <w:jc w:val="center"/>
              <w:rPr>
                <w:rFonts w:eastAsia="仿宋_GB2312"/>
                <w:szCs w:val="22"/>
              </w:rPr>
            </w:pPr>
            <w:r>
              <w:rPr>
                <w:rFonts w:eastAsia="仿宋_GB2312"/>
              </w:rPr>
              <w:t>国家</w:t>
            </w:r>
            <w:r>
              <w:rPr>
                <w:rFonts w:eastAsia="仿宋_GB2312"/>
                <w:szCs w:val="22"/>
              </w:rPr>
              <w:t>二级</w:t>
            </w:r>
          </w:p>
        </w:tc>
        <w:tc>
          <w:tcPr>
            <w:tcW w:w="775" w:type="pct"/>
            <w:shd w:val="clear" w:color="auto" w:fill="auto"/>
            <w:noWrap/>
            <w:vAlign w:val="center"/>
          </w:tcPr>
          <w:p w14:paraId="29991086">
            <w:pPr>
              <w:jc w:val="center"/>
              <w:rPr>
                <w:rFonts w:eastAsia="仿宋_GB2312"/>
                <w:szCs w:val="22"/>
              </w:rPr>
            </w:pPr>
            <w:r>
              <w:rPr>
                <w:rFonts w:eastAsia="仿宋_GB2312"/>
              </w:rPr>
              <w:t>LC</w:t>
            </w:r>
          </w:p>
        </w:tc>
      </w:tr>
      <w:tr w14:paraId="2C3B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61DA8663">
            <w:pPr>
              <w:jc w:val="center"/>
              <w:rPr>
                <w:rFonts w:eastAsia="仿宋_GB2312"/>
                <w:szCs w:val="22"/>
              </w:rPr>
            </w:pPr>
            <w:r>
              <w:rPr>
                <w:rFonts w:eastAsia="仿宋_GB2312"/>
                <w:szCs w:val="22"/>
              </w:rPr>
              <w:t>11</w:t>
            </w:r>
          </w:p>
        </w:tc>
        <w:tc>
          <w:tcPr>
            <w:tcW w:w="666" w:type="pct"/>
            <w:shd w:val="clear" w:color="auto" w:fill="auto"/>
            <w:noWrap/>
            <w:vAlign w:val="center"/>
          </w:tcPr>
          <w:p w14:paraId="61AFA842">
            <w:pPr>
              <w:jc w:val="center"/>
              <w:rPr>
                <w:rFonts w:eastAsia="仿宋_GB2312"/>
                <w:szCs w:val="22"/>
              </w:rPr>
            </w:pPr>
            <w:r>
              <w:rPr>
                <w:rFonts w:eastAsia="仿宋_GB2312"/>
                <w:szCs w:val="22"/>
              </w:rPr>
              <w:t>大叶榉树</w:t>
            </w:r>
          </w:p>
        </w:tc>
        <w:tc>
          <w:tcPr>
            <w:tcW w:w="1431" w:type="pct"/>
            <w:shd w:val="clear" w:color="auto" w:fill="auto"/>
            <w:noWrap/>
            <w:vAlign w:val="center"/>
          </w:tcPr>
          <w:p w14:paraId="3F1CAEA7">
            <w:pPr>
              <w:jc w:val="center"/>
              <w:rPr>
                <w:rFonts w:eastAsia="仿宋_GB2312"/>
                <w:i/>
                <w:iCs/>
                <w:szCs w:val="22"/>
              </w:rPr>
            </w:pPr>
            <w:r>
              <w:rPr>
                <w:rFonts w:eastAsia="仿宋_GB2312"/>
                <w:i/>
                <w:iCs/>
                <w:szCs w:val="22"/>
              </w:rPr>
              <w:t>Zelkova schneideriana</w:t>
            </w:r>
          </w:p>
        </w:tc>
        <w:tc>
          <w:tcPr>
            <w:tcW w:w="558" w:type="pct"/>
            <w:shd w:val="clear" w:color="auto" w:fill="auto"/>
            <w:noWrap/>
            <w:vAlign w:val="center"/>
          </w:tcPr>
          <w:p w14:paraId="0B1E8F53">
            <w:pPr>
              <w:jc w:val="center"/>
              <w:rPr>
                <w:rFonts w:eastAsia="仿宋_GB2312"/>
                <w:szCs w:val="22"/>
              </w:rPr>
            </w:pPr>
            <w:r>
              <w:rPr>
                <w:rFonts w:eastAsia="仿宋_GB2312"/>
                <w:szCs w:val="22"/>
              </w:rPr>
              <w:t>榆科</w:t>
            </w:r>
          </w:p>
        </w:tc>
        <w:tc>
          <w:tcPr>
            <w:tcW w:w="708" w:type="pct"/>
            <w:shd w:val="clear" w:color="auto" w:fill="auto"/>
            <w:noWrap/>
            <w:vAlign w:val="center"/>
          </w:tcPr>
          <w:p w14:paraId="37B9B438">
            <w:pPr>
              <w:jc w:val="center"/>
              <w:rPr>
                <w:rFonts w:eastAsia="仿宋_GB2312"/>
                <w:szCs w:val="22"/>
              </w:rPr>
            </w:pPr>
            <w:r>
              <w:rPr>
                <w:rFonts w:eastAsia="仿宋_GB2312"/>
                <w:szCs w:val="22"/>
              </w:rPr>
              <w:t>榉属</w:t>
            </w:r>
          </w:p>
        </w:tc>
        <w:tc>
          <w:tcPr>
            <w:tcW w:w="517" w:type="pct"/>
            <w:shd w:val="clear" w:color="auto" w:fill="auto"/>
            <w:noWrap/>
            <w:vAlign w:val="center"/>
          </w:tcPr>
          <w:p w14:paraId="348B8192">
            <w:pPr>
              <w:jc w:val="center"/>
              <w:rPr>
                <w:rFonts w:eastAsia="仿宋_GB2312"/>
                <w:szCs w:val="22"/>
              </w:rPr>
            </w:pPr>
            <w:r>
              <w:rPr>
                <w:rFonts w:eastAsia="仿宋_GB2312"/>
              </w:rPr>
              <w:t>国家</w:t>
            </w:r>
            <w:r>
              <w:rPr>
                <w:rFonts w:eastAsia="仿宋_GB2312"/>
                <w:szCs w:val="22"/>
              </w:rPr>
              <w:t>二级</w:t>
            </w:r>
          </w:p>
        </w:tc>
        <w:tc>
          <w:tcPr>
            <w:tcW w:w="775" w:type="pct"/>
            <w:shd w:val="clear" w:color="auto" w:fill="auto"/>
            <w:noWrap/>
            <w:vAlign w:val="center"/>
          </w:tcPr>
          <w:p w14:paraId="5D95E13B">
            <w:pPr>
              <w:jc w:val="center"/>
              <w:rPr>
                <w:rFonts w:eastAsia="仿宋_GB2312"/>
                <w:szCs w:val="22"/>
              </w:rPr>
            </w:pPr>
            <w:r>
              <w:rPr>
                <w:rFonts w:eastAsia="仿宋_GB2312"/>
                <w:szCs w:val="22"/>
              </w:rPr>
              <w:t>NT</w:t>
            </w:r>
          </w:p>
        </w:tc>
      </w:tr>
      <w:tr w14:paraId="5AF3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42" w:type="pct"/>
            <w:shd w:val="clear" w:color="auto" w:fill="auto"/>
            <w:noWrap/>
            <w:vAlign w:val="center"/>
          </w:tcPr>
          <w:p w14:paraId="37D6AF45">
            <w:pPr>
              <w:jc w:val="center"/>
              <w:rPr>
                <w:rFonts w:eastAsia="仿宋_GB2312"/>
                <w:szCs w:val="22"/>
              </w:rPr>
            </w:pPr>
            <w:r>
              <w:rPr>
                <w:rFonts w:eastAsia="仿宋_GB2312"/>
                <w:szCs w:val="22"/>
              </w:rPr>
              <w:t>12</w:t>
            </w:r>
          </w:p>
        </w:tc>
        <w:tc>
          <w:tcPr>
            <w:tcW w:w="666" w:type="pct"/>
            <w:shd w:val="clear" w:color="auto" w:fill="auto"/>
            <w:noWrap/>
            <w:vAlign w:val="center"/>
          </w:tcPr>
          <w:p w14:paraId="34C57E1E">
            <w:pPr>
              <w:jc w:val="center"/>
              <w:rPr>
                <w:rFonts w:eastAsia="仿宋_GB2312"/>
                <w:szCs w:val="22"/>
              </w:rPr>
            </w:pPr>
            <w:r>
              <w:rPr>
                <w:rFonts w:eastAsia="仿宋_GB2312"/>
                <w:szCs w:val="22"/>
              </w:rPr>
              <w:t>莲</w:t>
            </w:r>
          </w:p>
        </w:tc>
        <w:tc>
          <w:tcPr>
            <w:tcW w:w="1431" w:type="pct"/>
            <w:shd w:val="clear" w:color="auto" w:fill="auto"/>
            <w:noWrap/>
            <w:vAlign w:val="center"/>
          </w:tcPr>
          <w:p w14:paraId="502349F1">
            <w:pPr>
              <w:jc w:val="center"/>
              <w:rPr>
                <w:rFonts w:eastAsia="仿宋_GB2312"/>
                <w:i/>
                <w:iCs/>
                <w:szCs w:val="22"/>
              </w:rPr>
            </w:pPr>
            <w:r>
              <w:rPr>
                <w:rFonts w:eastAsia="仿宋_GB2312"/>
                <w:i/>
                <w:iCs/>
                <w:szCs w:val="22"/>
              </w:rPr>
              <w:t>Nelumbo nucifera</w:t>
            </w:r>
          </w:p>
        </w:tc>
        <w:tc>
          <w:tcPr>
            <w:tcW w:w="558" w:type="pct"/>
            <w:shd w:val="clear" w:color="auto" w:fill="auto"/>
            <w:noWrap/>
            <w:vAlign w:val="center"/>
          </w:tcPr>
          <w:p w14:paraId="449A22B8">
            <w:pPr>
              <w:jc w:val="center"/>
              <w:rPr>
                <w:rFonts w:eastAsia="仿宋_GB2312"/>
                <w:szCs w:val="22"/>
              </w:rPr>
            </w:pPr>
            <w:r>
              <w:rPr>
                <w:rFonts w:eastAsia="仿宋_GB2312"/>
                <w:szCs w:val="22"/>
              </w:rPr>
              <w:t>莲科</w:t>
            </w:r>
          </w:p>
        </w:tc>
        <w:tc>
          <w:tcPr>
            <w:tcW w:w="708" w:type="pct"/>
            <w:shd w:val="clear" w:color="auto" w:fill="auto"/>
            <w:noWrap/>
            <w:vAlign w:val="center"/>
          </w:tcPr>
          <w:p w14:paraId="3B2B5EA8">
            <w:pPr>
              <w:jc w:val="center"/>
              <w:rPr>
                <w:rFonts w:eastAsia="仿宋_GB2312"/>
                <w:szCs w:val="22"/>
              </w:rPr>
            </w:pPr>
            <w:r>
              <w:rPr>
                <w:rFonts w:eastAsia="仿宋_GB2312"/>
                <w:szCs w:val="22"/>
              </w:rPr>
              <w:t>莲属</w:t>
            </w:r>
          </w:p>
        </w:tc>
        <w:tc>
          <w:tcPr>
            <w:tcW w:w="517" w:type="pct"/>
            <w:shd w:val="clear" w:color="auto" w:fill="auto"/>
            <w:noWrap/>
            <w:vAlign w:val="center"/>
          </w:tcPr>
          <w:p w14:paraId="3E863025">
            <w:pPr>
              <w:jc w:val="center"/>
              <w:rPr>
                <w:rFonts w:eastAsia="仿宋_GB2312"/>
                <w:szCs w:val="22"/>
              </w:rPr>
            </w:pPr>
            <w:r>
              <w:rPr>
                <w:rFonts w:eastAsia="仿宋_GB2312"/>
              </w:rPr>
              <w:t>国家</w:t>
            </w:r>
            <w:r>
              <w:rPr>
                <w:rFonts w:eastAsia="仿宋_GB2312"/>
                <w:szCs w:val="22"/>
              </w:rPr>
              <w:t>二级</w:t>
            </w:r>
          </w:p>
        </w:tc>
        <w:tc>
          <w:tcPr>
            <w:tcW w:w="775" w:type="pct"/>
            <w:shd w:val="clear" w:color="auto" w:fill="auto"/>
            <w:noWrap/>
            <w:vAlign w:val="center"/>
          </w:tcPr>
          <w:p w14:paraId="279F6B8E">
            <w:pPr>
              <w:jc w:val="center"/>
              <w:rPr>
                <w:rFonts w:eastAsia="仿宋_GB2312"/>
                <w:szCs w:val="22"/>
              </w:rPr>
            </w:pPr>
            <w:r>
              <w:rPr>
                <w:rFonts w:eastAsia="仿宋_GB2312"/>
                <w:szCs w:val="22"/>
              </w:rPr>
              <w:t>NE</w:t>
            </w:r>
          </w:p>
        </w:tc>
      </w:tr>
      <w:tr w14:paraId="1799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6C8261D1">
            <w:pPr>
              <w:jc w:val="center"/>
              <w:rPr>
                <w:rFonts w:eastAsia="仿宋_GB2312"/>
                <w:szCs w:val="22"/>
              </w:rPr>
            </w:pPr>
            <w:r>
              <w:rPr>
                <w:rFonts w:eastAsia="仿宋_GB2312"/>
                <w:szCs w:val="22"/>
              </w:rPr>
              <w:t>13</w:t>
            </w:r>
          </w:p>
        </w:tc>
        <w:tc>
          <w:tcPr>
            <w:tcW w:w="666" w:type="pct"/>
            <w:shd w:val="clear" w:color="auto" w:fill="auto"/>
            <w:noWrap/>
            <w:vAlign w:val="center"/>
          </w:tcPr>
          <w:p w14:paraId="5F5DE7A0">
            <w:pPr>
              <w:jc w:val="center"/>
              <w:rPr>
                <w:rFonts w:eastAsia="仿宋_GB2312"/>
                <w:szCs w:val="22"/>
              </w:rPr>
            </w:pPr>
            <w:r>
              <w:rPr>
                <w:rFonts w:eastAsia="仿宋_GB2312"/>
                <w:szCs w:val="22"/>
              </w:rPr>
              <w:t>金荞麦</w:t>
            </w:r>
          </w:p>
        </w:tc>
        <w:tc>
          <w:tcPr>
            <w:tcW w:w="1431" w:type="pct"/>
            <w:shd w:val="clear" w:color="auto" w:fill="auto"/>
            <w:noWrap/>
            <w:vAlign w:val="center"/>
          </w:tcPr>
          <w:p w14:paraId="6AB12F16">
            <w:pPr>
              <w:jc w:val="center"/>
              <w:rPr>
                <w:rFonts w:eastAsia="仿宋_GB2312"/>
                <w:i/>
                <w:iCs/>
                <w:szCs w:val="22"/>
              </w:rPr>
            </w:pPr>
            <w:r>
              <w:rPr>
                <w:rFonts w:eastAsia="仿宋_GB2312"/>
                <w:i/>
                <w:iCs/>
                <w:szCs w:val="22"/>
              </w:rPr>
              <w:t>Fagopyrum dibotrys</w:t>
            </w:r>
          </w:p>
        </w:tc>
        <w:tc>
          <w:tcPr>
            <w:tcW w:w="558" w:type="pct"/>
            <w:shd w:val="clear" w:color="auto" w:fill="auto"/>
            <w:noWrap/>
            <w:vAlign w:val="center"/>
          </w:tcPr>
          <w:p w14:paraId="7648FBE2">
            <w:pPr>
              <w:jc w:val="center"/>
              <w:rPr>
                <w:rFonts w:eastAsia="仿宋_GB2312"/>
                <w:szCs w:val="22"/>
              </w:rPr>
            </w:pPr>
            <w:r>
              <w:rPr>
                <w:rFonts w:eastAsia="仿宋_GB2312"/>
                <w:szCs w:val="22"/>
              </w:rPr>
              <w:t>蓼科</w:t>
            </w:r>
          </w:p>
        </w:tc>
        <w:tc>
          <w:tcPr>
            <w:tcW w:w="708" w:type="pct"/>
            <w:shd w:val="clear" w:color="auto" w:fill="auto"/>
            <w:noWrap/>
            <w:vAlign w:val="center"/>
          </w:tcPr>
          <w:p w14:paraId="294F8E68">
            <w:pPr>
              <w:jc w:val="center"/>
              <w:rPr>
                <w:rFonts w:eastAsia="仿宋_GB2312"/>
                <w:szCs w:val="22"/>
              </w:rPr>
            </w:pPr>
            <w:r>
              <w:rPr>
                <w:rFonts w:eastAsia="仿宋_GB2312"/>
                <w:szCs w:val="22"/>
              </w:rPr>
              <w:t>荞麦属</w:t>
            </w:r>
          </w:p>
        </w:tc>
        <w:tc>
          <w:tcPr>
            <w:tcW w:w="517" w:type="pct"/>
            <w:shd w:val="clear" w:color="auto" w:fill="auto"/>
            <w:noWrap/>
            <w:vAlign w:val="center"/>
          </w:tcPr>
          <w:p w14:paraId="2F913ACC">
            <w:pPr>
              <w:jc w:val="center"/>
              <w:rPr>
                <w:rFonts w:eastAsia="仿宋_GB2312"/>
                <w:szCs w:val="22"/>
              </w:rPr>
            </w:pPr>
            <w:r>
              <w:rPr>
                <w:rFonts w:eastAsia="仿宋_GB2312"/>
              </w:rPr>
              <w:t>国家</w:t>
            </w:r>
            <w:r>
              <w:rPr>
                <w:rFonts w:eastAsia="仿宋_GB2312"/>
                <w:szCs w:val="22"/>
              </w:rPr>
              <w:t xml:space="preserve">二级 </w:t>
            </w:r>
          </w:p>
        </w:tc>
        <w:tc>
          <w:tcPr>
            <w:tcW w:w="775" w:type="pct"/>
            <w:shd w:val="clear" w:color="auto" w:fill="auto"/>
            <w:noWrap/>
            <w:vAlign w:val="center"/>
          </w:tcPr>
          <w:p w14:paraId="574D4B13">
            <w:pPr>
              <w:jc w:val="center"/>
              <w:rPr>
                <w:rFonts w:eastAsia="仿宋_GB2312"/>
                <w:szCs w:val="22"/>
              </w:rPr>
            </w:pPr>
            <w:r>
              <w:rPr>
                <w:rFonts w:eastAsia="仿宋_GB2312"/>
              </w:rPr>
              <w:t>LC</w:t>
            </w:r>
          </w:p>
        </w:tc>
      </w:tr>
      <w:tr w14:paraId="7B8C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2AC38148">
            <w:pPr>
              <w:jc w:val="center"/>
              <w:rPr>
                <w:rFonts w:eastAsia="仿宋_GB2312"/>
                <w:szCs w:val="22"/>
              </w:rPr>
            </w:pPr>
            <w:r>
              <w:rPr>
                <w:rFonts w:eastAsia="仿宋_GB2312"/>
                <w:szCs w:val="22"/>
              </w:rPr>
              <w:t>14</w:t>
            </w:r>
          </w:p>
        </w:tc>
        <w:tc>
          <w:tcPr>
            <w:tcW w:w="666" w:type="pct"/>
            <w:shd w:val="clear" w:color="auto" w:fill="auto"/>
            <w:noWrap/>
            <w:vAlign w:val="center"/>
          </w:tcPr>
          <w:p w14:paraId="40E9A9E6">
            <w:pPr>
              <w:jc w:val="center"/>
              <w:rPr>
                <w:rFonts w:eastAsia="仿宋_GB2312"/>
              </w:rPr>
            </w:pPr>
            <w:r>
              <w:rPr>
                <w:rFonts w:eastAsia="仿宋_GB2312"/>
              </w:rPr>
              <w:t>杜仲</w:t>
            </w:r>
          </w:p>
        </w:tc>
        <w:tc>
          <w:tcPr>
            <w:tcW w:w="1431" w:type="pct"/>
            <w:shd w:val="clear" w:color="auto" w:fill="auto"/>
            <w:noWrap/>
            <w:vAlign w:val="center"/>
          </w:tcPr>
          <w:p w14:paraId="4A6A119E">
            <w:pPr>
              <w:jc w:val="center"/>
              <w:rPr>
                <w:rFonts w:eastAsia="仿宋_GB2312"/>
                <w:i/>
                <w:iCs/>
              </w:rPr>
            </w:pPr>
            <w:r>
              <w:rPr>
                <w:rFonts w:eastAsia="仿宋_GB2312"/>
                <w:i/>
                <w:iCs/>
              </w:rPr>
              <w:t>Eucommia ulmoides</w:t>
            </w:r>
          </w:p>
        </w:tc>
        <w:tc>
          <w:tcPr>
            <w:tcW w:w="558" w:type="pct"/>
            <w:shd w:val="clear" w:color="auto" w:fill="auto"/>
            <w:noWrap/>
            <w:vAlign w:val="center"/>
          </w:tcPr>
          <w:p w14:paraId="5A255502">
            <w:pPr>
              <w:jc w:val="center"/>
              <w:rPr>
                <w:rFonts w:eastAsia="仿宋_GB2312"/>
              </w:rPr>
            </w:pPr>
            <w:r>
              <w:rPr>
                <w:rFonts w:eastAsia="仿宋_GB2312"/>
              </w:rPr>
              <w:t>杜仲科</w:t>
            </w:r>
          </w:p>
        </w:tc>
        <w:tc>
          <w:tcPr>
            <w:tcW w:w="708" w:type="pct"/>
            <w:shd w:val="clear" w:color="auto" w:fill="auto"/>
            <w:noWrap/>
            <w:vAlign w:val="center"/>
          </w:tcPr>
          <w:p w14:paraId="45FE5FA4">
            <w:pPr>
              <w:jc w:val="center"/>
              <w:rPr>
                <w:rFonts w:eastAsia="仿宋_GB2312"/>
              </w:rPr>
            </w:pPr>
            <w:r>
              <w:rPr>
                <w:rFonts w:eastAsia="仿宋_GB2312"/>
              </w:rPr>
              <w:t>杜仲属</w:t>
            </w:r>
          </w:p>
        </w:tc>
        <w:tc>
          <w:tcPr>
            <w:tcW w:w="517" w:type="pct"/>
            <w:shd w:val="clear" w:color="auto" w:fill="auto"/>
            <w:noWrap/>
            <w:vAlign w:val="center"/>
          </w:tcPr>
          <w:p w14:paraId="5FB3F69C">
            <w:pPr>
              <w:jc w:val="center"/>
              <w:rPr>
                <w:rFonts w:eastAsia="仿宋_GB2312"/>
                <w:szCs w:val="22"/>
              </w:rPr>
            </w:pPr>
            <w:r>
              <w:rPr>
                <w:rFonts w:eastAsia="仿宋_GB2312"/>
                <w:szCs w:val="22"/>
              </w:rPr>
              <w:t>/</w:t>
            </w:r>
          </w:p>
        </w:tc>
        <w:tc>
          <w:tcPr>
            <w:tcW w:w="775" w:type="pct"/>
            <w:shd w:val="clear" w:color="auto" w:fill="auto"/>
            <w:noWrap/>
            <w:vAlign w:val="center"/>
          </w:tcPr>
          <w:p w14:paraId="1E1A9460">
            <w:pPr>
              <w:jc w:val="center"/>
              <w:rPr>
                <w:rFonts w:eastAsia="仿宋_GB2312"/>
                <w:szCs w:val="22"/>
              </w:rPr>
            </w:pPr>
            <w:r>
              <w:rPr>
                <w:rFonts w:eastAsia="仿宋_GB2312"/>
              </w:rPr>
              <w:t>VU</w:t>
            </w:r>
          </w:p>
        </w:tc>
      </w:tr>
      <w:tr w14:paraId="6376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73F5E13A">
            <w:pPr>
              <w:jc w:val="center"/>
              <w:rPr>
                <w:rFonts w:eastAsia="仿宋_GB2312"/>
                <w:szCs w:val="22"/>
              </w:rPr>
            </w:pPr>
            <w:r>
              <w:rPr>
                <w:rFonts w:eastAsia="仿宋_GB2312"/>
                <w:szCs w:val="22"/>
              </w:rPr>
              <w:t>15</w:t>
            </w:r>
          </w:p>
        </w:tc>
        <w:tc>
          <w:tcPr>
            <w:tcW w:w="666" w:type="pct"/>
            <w:shd w:val="clear" w:color="auto" w:fill="auto"/>
            <w:noWrap/>
            <w:vAlign w:val="center"/>
          </w:tcPr>
          <w:p w14:paraId="69F0E009">
            <w:pPr>
              <w:jc w:val="center"/>
              <w:rPr>
                <w:rFonts w:eastAsia="仿宋_GB2312"/>
                <w:szCs w:val="22"/>
              </w:rPr>
            </w:pPr>
            <w:r>
              <w:rPr>
                <w:rFonts w:eastAsia="仿宋_GB2312"/>
                <w:szCs w:val="22"/>
              </w:rPr>
              <w:t>鸡爪槭</w:t>
            </w:r>
          </w:p>
        </w:tc>
        <w:tc>
          <w:tcPr>
            <w:tcW w:w="1431" w:type="pct"/>
            <w:shd w:val="clear" w:color="auto" w:fill="auto"/>
            <w:noWrap/>
            <w:vAlign w:val="center"/>
          </w:tcPr>
          <w:p w14:paraId="375F9945">
            <w:pPr>
              <w:jc w:val="center"/>
              <w:rPr>
                <w:rFonts w:eastAsia="仿宋_GB2312"/>
                <w:i/>
                <w:iCs/>
                <w:szCs w:val="22"/>
              </w:rPr>
            </w:pPr>
            <w:r>
              <w:rPr>
                <w:rFonts w:eastAsia="仿宋_GB2312"/>
                <w:i/>
                <w:iCs/>
                <w:szCs w:val="22"/>
              </w:rPr>
              <w:t>Acer palmatum</w:t>
            </w:r>
          </w:p>
        </w:tc>
        <w:tc>
          <w:tcPr>
            <w:tcW w:w="558" w:type="pct"/>
            <w:shd w:val="clear" w:color="auto" w:fill="auto"/>
            <w:noWrap/>
            <w:vAlign w:val="center"/>
          </w:tcPr>
          <w:p w14:paraId="10FB2F9D">
            <w:pPr>
              <w:jc w:val="center"/>
              <w:rPr>
                <w:rFonts w:eastAsia="仿宋_GB2312"/>
                <w:szCs w:val="22"/>
              </w:rPr>
            </w:pPr>
            <w:r>
              <w:rPr>
                <w:rFonts w:eastAsia="仿宋_GB2312"/>
                <w:szCs w:val="22"/>
              </w:rPr>
              <w:t>无患子科</w:t>
            </w:r>
          </w:p>
        </w:tc>
        <w:tc>
          <w:tcPr>
            <w:tcW w:w="708" w:type="pct"/>
            <w:shd w:val="clear" w:color="auto" w:fill="auto"/>
            <w:noWrap/>
            <w:vAlign w:val="center"/>
          </w:tcPr>
          <w:p w14:paraId="61007D59">
            <w:pPr>
              <w:jc w:val="center"/>
              <w:rPr>
                <w:rFonts w:eastAsia="仿宋_GB2312"/>
                <w:szCs w:val="22"/>
              </w:rPr>
            </w:pPr>
            <w:r>
              <w:rPr>
                <w:rFonts w:eastAsia="仿宋_GB2312"/>
                <w:szCs w:val="22"/>
              </w:rPr>
              <w:t>槭属</w:t>
            </w:r>
          </w:p>
        </w:tc>
        <w:tc>
          <w:tcPr>
            <w:tcW w:w="517" w:type="pct"/>
            <w:shd w:val="clear" w:color="auto" w:fill="auto"/>
            <w:noWrap/>
            <w:vAlign w:val="center"/>
          </w:tcPr>
          <w:p w14:paraId="6BA8A572">
            <w:pPr>
              <w:jc w:val="center"/>
              <w:rPr>
                <w:rFonts w:eastAsia="仿宋_GB2312"/>
                <w:szCs w:val="22"/>
              </w:rPr>
            </w:pPr>
            <w:r>
              <w:rPr>
                <w:rFonts w:eastAsia="仿宋_GB2312"/>
                <w:szCs w:val="22"/>
              </w:rPr>
              <w:t>/</w:t>
            </w:r>
          </w:p>
        </w:tc>
        <w:tc>
          <w:tcPr>
            <w:tcW w:w="775" w:type="pct"/>
            <w:shd w:val="clear" w:color="auto" w:fill="auto"/>
            <w:noWrap/>
            <w:vAlign w:val="center"/>
          </w:tcPr>
          <w:p w14:paraId="1B40E0F2">
            <w:pPr>
              <w:jc w:val="center"/>
              <w:rPr>
                <w:rFonts w:eastAsia="仿宋_GB2312"/>
                <w:szCs w:val="22"/>
              </w:rPr>
            </w:pPr>
            <w:r>
              <w:rPr>
                <w:rFonts w:eastAsia="仿宋_GB2312"/>
              </w:rPr>
              <w:t>VU</w:t>
            </w:r>
          </w:p>
        </w:tc>
      </w:tr>
      <w:tr w14:paraId="7B8A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42" w:type="pct"/>
            <w:shd w:val="clear" w:color="auto" w:fill="auto"/>
            <w:noWrap/>
            <w:vAlign w:val="center"/>
          </w:tcPr>
          <w:p w14:paraId="6E11C6FB">
            <w:pPr>
              <w:jc w:val="center"/>
              <w:rPr>
                <w:rFonts w:eastAsia="仿宋_GB2312"/>
                <w:szCs w:val="22"/>
              </w:rPr>
            </w:pPr>
            <w:r>
              <w:rPr>
                <w:rFonts w:eastAsia="仿宋_GB2312"/>
                <w:szCs w:val="22"/>
              </w:rPr>
              <w:t>16</w:t>
            </w:r>
          </w:p>
        </w:tc>
        <w:tc>
          <w:tcPr>
            <w:tcW w:w="666" w:type="pct"/>
            <w:shd w:val="clear" w:color="auto" w:fill="auto"/>
            <w:noWrap/>
            <w:vAlign w:val="center"/>
          </w:tcPr>
          <w:p w14:paraId="0B740C02">
            <w:pPr>
              <w:jc w:val="center"/>
              <w:rPr>
                <w:rFonts w:eastAsia="仿宋_GB2312"/>
                <w:szCs w:val="22"/>
              </w:rPr>
            </w:pPr>
            <w:r>
              <w:rPr>
                <w:rFonts w:eastAsia="仿宋_GB2312"/>
                <w:szCs w:val="22"/>
              </w:rPr>
              <w:t>龙舌草</w:t>
            </w:r>
          </w:p>
        </w:tc>
        <w:tc>
          <w:tcPr>
            <w:tcW w:w="1431" w:type="pct"/>
            <w:shd w:val="clear" w:color="auto" w:fill="auto"/>
            <w:noWrap/>
            <w:vAlign w:val="center"/>
          </w:tcPr>
          <w:p w14:paraId="7040753B">
            <w:pPr>
              <w:jc w:val="center"/>
              <w:rPr>
                <w:rFonts w:eastAsia="仿宋_GB2312"/>
                <w:i/>
                <w:iCs/>
                <w:szCs w:val="22"/>
              </w:rPr>
            </w:pPr>
            <w:r>
              <w:rPr>
                <w:rFonts w:eastAsia="仿宋_GB2312"/>
                <w:i/>
                <w:iCs/>
                <w:szCs w:val="22"/>
              </w:rPr>
              <w:t>Ottelia alismoides</w:t>
            </w:r>
          </w:p>
        </w:tc>
        <w:tc>
          <w:tcPr>
            <w:tcW w:w="558" w:type="pct"/>
            <w:shd w:val="clear" w:color="auto" w:fill="auto"/>
            <w:noWrap/>
            <w:vAlign w:val="center"/>
          </w:tcPr>
          <w:p w14:paraId="1296E8A4">
            <w:pPr>
              <w:jc w:val="center"/>
              <w:rPr>
                <w:rFonts w:eastAsia="仿宋_GB2312"/>
                <w:szCs w:val="22"/>
              </w:rPr>
            </w:pPr>
            <w:r>
              <w:rPr>
                <w:rFonts w:eastAsia="仿宋_GB2312"/>
                <w:szCs w:val="22"/>
              </w:rPr>
              <w:t>水鳖科</w:t>
            </w:r>
          </w:p>
        </w:tc>
        <w:tc>
          <w:tcPr>
            <w:tcW w:w="708" w:type="pct"/>
            <w:shd w:val="clear" w:color="auto" w:fill="auto"/>
            <w:noWrap/>
            <w:vAlign w:val="center"/>
          </w:tcPr>
          <w:p w14:paraId="390829CC">
            <w:pPr>
              <w:jc w:val="center"/>
              <w:rPr>
                <w:rFonts w:eastAsia="仿宋_GB2312"/>
                <w:szCs w:val="22"/>
              </w:rPr>
            </w:pPr>
            <w:r>
              <w:rPr>
                <w:rFonts w:eastAsia="仿宋_GB2312"/>
                <w:szCs w:val="22"/>
              </w:rPr>
              <w:t>水车前属</w:t>
            </w:r>
          </w:p>
        </w:tc>
        <w:tc>
          <w:tcPr>
            <w:tcW w:w="517" w:type="pct"/>
            <w:shd w:val="clear" w:color="auto" w:fill="auto"/>
            <w:noWrap/>
            <w:vAlign w:val="center"/>
          </w:tcPr>
          <w:p w14:paraId="76060350">
            <w:pPr>
              <w:jc w:val="center"/>
              <w:rPr>
                <w:rFonts w:eastAsia="仿宋_GB2312"/>
                <w:szCs w:val="22"/>
              </w:rPr>
            </w:pPr>
            <w:r>
              <w:rPr>
                <w:rFonts w:eastAsia="仿宋_GB2312"/>
                <w:szCs w:val="22"/>
              </w:rPr>
              <w:t>/</w:t>
            </w:r>
          </w:p>
        </w:tc>
        <w:tc>
          <w:tcPr>
            <w:tcW w:w="775" w:type="pct"/>
            <w:shd w:val="clear" w:color="auto" w:fill="auto"/>
            <w:noWrap/>
            <w:vAlign w:val="center"/>
          </w:tcPr>
          <w:p w14:paraId="4C10AC85">
            <w:pPr>
              <w:jc w:val="center"/>
              <w:rPr>
                <w:rFonts w:eastAsia="仿宋_GB2312"/>
                <w:szCs w:val="22"/>
              </w:rPr>
            </w:pPr>
            <w:r>
              <w:rPr>
                <w:rFonts w:eastAsia="仿宋_GB2312"/>
              </w:rPr>
              <w:t>VU</w:t>
            </w:r>
          </w:p>
        </w:tc>
      </w:tr>
    </w:tbl>
    <w:p w14:paraId="64E58769">
      <w:pPr>
        <w:spacing w:before="100" w:beforeAutospacing="1" w:after="100" w:afterAutospacing="1" w:line="360" w:lineRule="auto"/>
        <w:rPr>
          <w:rFonts w:eastAsia="仿宋_GB2312"/>
          <w:b/>
          <w:sz w:val="28"/>
          <w:szCs w:val="28"/>
        </w:rPr>
      </w:pPr>
    </w:p>
    <w:p w14:paraId="4D46E9D8">
      <w:pPr>
        <w:pStyle w:val="4"/>
        <w:ind w:left="0" w:firstLine="0"/>
        <w:rPr>
          <w:rFonts w:ascii="Times New Roman" w:hAnsi="Times New Roman" w:eastAsia="仿宋_GB2312"/>
        </w:rPr>
      </w:pPr>
    </w:p>
    <w:p w14:paraId="08A58CA0">
      <w:pPr>
        <w:spacing w:before="100" w:beforeAutospacing="1" w:after="100" w:afterAutospacing="1" w:line="360" w:lineRule="auto"/>
        <w:rPr>
          <w:rFonts w:eastAsia="仿宋_GB2312"/>
          <w:b/>
          <w:sz w:val="28"/>
          <w:szCs w:val="28"/>
        </w:rPr>
        <w:sectPr>
          <w:pgSz w:w="11906" w:h="16838"/>
          <w:pgMar w:top="1440" w:right="1800" w:bottom="1440" w:left="1800" w:header="851" w:footer="992" w:gutter="0"/>
          <w:cols w:space="425" w:num="1"/>
          <w:docGrid w:type="lines" w:linePitch="312" w:charSpace="0"/>
        </w:sectPr>
      </w:pPr>
    </w:p>
    <w:p w14:paraId="2C5200DD">
      <w:pPr>
        <w:spacing w:line="360" w:lineRule="auto"/>
        <w:outlineLvl w:val="0"/>
        <w:rPr>
          <w:rFonts w:eastAsia="仿宋_GB2312"/>
          <w:b/>
          <w:sz w:val="28"/>
          <w:szCs w:val="28"/>
        </w:rPr>
      </w:pPr>
      <w:bookmarkStart w:id="115" w:name="_Toc19591"/>
      <w:bookmarkStart w:id="116" w:name="_Toc14009"/>
      <w:r>
        <w:rPr>
          <w:rFonts w:eastAsia="仿宋_GB2312"/>
          <w:b/>
          <w:sz w:val="28"/>
          <w:szCs w:val="28"/>
        </w:rPr>
        <w:t>附录3 靖江市优先保护动物名录</w:t>
      </w:r>
      <w:bookmarkEnd w:id="115"/>
      <w:bookmarkEnd w:id="116"/>
    </w:p>
    <w:tbl>
      <w:tblPr>
        <w:tblStyle w:val="15"/>
        <w:tblW w:w="5000" w:type="pct"/>
        <w:tblInd w:w="0" w:type="dxa"/>
        <w:tblLayout w:type="fixed"/>
        <w:tblCellMar>
          <w:top w:w="0" w:type="dxa"/>
          <w:left w:w="108" w:type="dxa"/>
          <w:bottom w:w="0" w:type="dxa"/>
          <w:right w:w="108" w:type="dxa"/>
        </w:tblCellMar>
      </w:tblPr>
      <w:tblGrid>
        <w:gridCol w:w="599"/>
        <w:gridCol w:w="800"/>
        <w:gridCol w:w="1035"/>
        <w:gridCol w:w="1599"/>
        <w:gridCol w:w="2536"/>
        <w:gridCol w:w="849"/>
        <w:gridCol w:w="1104"/>
      </w:tblGrid>
      <w:tr w14:paraId="38888D1B">
        <w:tblPrEx>
          <w:tblCellMar>
            <w:top w:w="0" w:type="dxa"/>
            <w:left w:w="108" w:type="dxa"/>
            <w:bottom w:w="0" w:type="dxa"/>
            <w:right w:w="108" w:type="dxa"/>
          </w:tblCellMar>
        </w:tblPrEx>
        <w:trPr>
          <w:trHeight w:val="312" w:hRule="atLeast"/>
          <w:tblHeader/>
        </w:trPr>
        <w:tc>
          <w:tcPr>
            <w:tcW w:w="351" w:type="pct"/>
            <w:tcBorders>
              <w:top w:val="single" w:color="auto" w:sz="4" w:space="0"/>
              <w:left w:val="single" w:color="auto" w:sz="4" w:space="0"/>
              <w:bottom w:val="single" w:color="auto" w:sz="4" w:space="0"/>
              <w:right w:val="single" w:color="auto" w:sz="4" w:space="0"/>
            </w:tcBorders>
            <w:shd w:val="clear" w:color="auto" w:fill="B3C184"/>
            <w:noWrap/>
            <w:vAlign w:val="center"/>
          </w:tcPr>
          <w:p w14:paraId="3A1CD4B3">
            <w:pPr>
              <w:jc w:val="center"/>
              <w:rPr>
                <w:rFonts w:eastAsia="仿宋_GB2312"/>
                <w:b/>
                <w:bCs/>
              </w:rPr>
            </w:pPr>
            <w:r>
              <w:rPr>
                <w:rFonts w:eastAsia="仿宋_GB2312"/>
                <w:b/>
                <w:bCs/>
              </w:rPr>
              <w:t>序号</w:t>
            </w:r>
          </w:p>
        </w:tc>
        <w:tc>
          <w:tcPr>
            <w:tcW w:w="469" w:type="pct"/>
            <w:tcBorders>
              <w:top w:val="single" w:color="auto" w:sz="4" w:space="0"/>
              <w:left w:val="nil"/>
              <w:bottom w:val="single" w:color="auto" w:sz="4" w:space="0"/>
              <w:right w:val="single" w:color="auto" w:sz="4" w:space="0"/>
            </w:tcBorders>
            <w:shd w:val="clear" w:color="auto" w:fill="B3C184"/>
            <w:noWrap/>
            <w:vAlign w:val="center"/>
          </w:tcPr>
          <w:p w14:paraId="0511DCB8">
            <w:pPr>
              <w:jc w:val="center"/>
              <w:rPr>
                <w:rFonts w:eastAsia="仿宋_GB2312"/>
                <w:b/>
                <w:bCs/>
              </w:rPr>
            </w:pPr>
            <w:r>
              <w:rPr>
                <w:rFonts w:eastAsia="仿宋_GB2312"/>
                <w:b/>
                <w:bCs/>
              </w:rPr>
              <w:t>类群</w:t>
            </w:r>
          </w:p>
        </w:tc>
        <w:tc>
          <w:tcPr>
            <w:tcW w:w="607" w:type="pct"/>
            <w:tcBorders>
              <w:top w:val="single" w:color="auto" w:sz="4" w:space="0"/>
              <w:left w:val="nil"/>
              <w:bottom w:val="single" w:color="auto" w:sz="4" w:space="0"/>
              <w:right w:val="single" w:color="auto" w:sz="4" w:space="0"/>
            </w:tcBorders>
            <w:shd w:val="clear" w:color="auto" w:fill="B3C184"/>
            <w:noWrap/>
            <w:vAlign w:val="center"/>
          </w:tcPr>
          <w:p w14:paraId="0FD0E456">
            <w:pPr>
              <w:jc w:val="center"/>
              <w:rPr>
                <w:rFonts w:eastAsia="仿宋_GB2312"/>
                <w:b/>
                <w:bCs/>
              </w:rPr>
            </w:pPr>
            <w:r>
              <w:rPr>
                <w:rFonts w:eastAsia="仿宋_GB2312"/>
                <w:b/>
                <w:bCs/>
              </w:rPr>
              <w:t>科</w:t>
            </w:r>
          </w:p>
        </w:tc>
        <w:tc>
          <w:tcPr>
            <w:tcW w:w="937" w:type="pct"/>
            <w:tcBorders>
              <w:top w:val="single" w:color="auto" w:sz="4" w:space="0"/>
              <w:left w:val="nil"/>
              <w:bottom w:val="single" w:color="auto" w:sz="4" w:space="0"/>
              <w:right w:val="single" w:color="auto" w:sz="4" w:space="0"/>
            </w:tcBorders>
            <w:shd w:val="clear" w:color="auto" w:fill="B3C184"/>
            <w:noWrap/>
            <w:vAlign w:val="center"/>
          </w:tcPr>
          <w:p w14:paraId="5CF18018">
            <w:pPr>
              <w:jc w:val="center"/>
              <w:rPr>
                <w:rFonts w:eastAsia="仿宋_GB2312"/>
                <w:b/>
                <w:bCs/>
              </w:rPr>
            </w:pPr>
            <w:r>
              <w:rPr>
                <w:rFonts w:eastAsia="仿宋_GB2312"/>
                <w:b/>
                <w:bCs/>
              </w:rPr>
              <w:t>中文名</w:t>
            </w:r>
          </w:p>
        </w:tc>
        <w:tc>
          <w:tcPr>
            <w:tcW w:w="1487" w:type="pct"/>
            <w:tcBorders>
              <w:top w:val="single" w:color="auto" w:sz="4" w:space="0"/>
              <w:left w:val="nil"/>
              <w:bottom w:val="single" w:color="auto" w:sz="4" w:space="0"/>
              <w:right w:val="single" w:color="auto" w:sz="4" w:space="0"/>
            </w:tcBorders>
            <w:shd w:val="clear" w:color="auto" w:fill="B3C184"/>
            <w:noWrap/>
            <w:vAlign w:val="center"/>
          </w:tcPr>
          <w:p w14:paraId="6E333C5D">
            <w:pPr>
              <w:jc w:val="center"/>
              <w:rPr>
                <w:rFonts w:eastAsia="仿宋_GB2312"/>
                <w:b/>
                <w:bCs/>
              </w:rPr>
            </w:pPr>
            <w:r>
              <w:rPr>
                <w:rFonts w:eastAsia="仿宋_GB2312"/>
                <w:b/>
                <w:bCs/>
              </w:rPr>
              <w:t>拉丁名</w:t>
            </w:r>
          </w:p>
        </w:tc>
        <w:tc>
          <w:tcPr>
            <w:tcW w:w="498" w:type="pct"/>
            <w:tcBorders>
              <w:top w:val="single" w:color="auto" w:sz="4" w:space="0"/>
              <w:left w:val="nil"/>
              <w:bottom w:val="single" w:color="auto" w:sz="4" w:space="0"/>
              <w:right w:val="single" w:color="auto" w:sz="4" w:space="0"/>
            </w:tcBorders>
            <w:shd w:val="clear" w:color="auto" w:fill="B3C184"/>
            <w:noWrap/>
            <w:vAlign w:val="center"/>
          </w:tcPr>
          <w:p w14:paraId="102A53FA">
            <w:pPr>
              <w:jc w:val="center"/>
              <w:rPr>
                <w:rFonts w:eastAsia="仿宋_GB2312"/>
                <w:b/>
                <w:bCs/>
              </w:rPr>
            </w:pPr>
            <w:r>
              <w:rPr>
                <w:rFonts w:eastAsia="仿宋_GB2312"/>
                <w:b/>
                <w:bCs/>
              </w:rPr>
              <w:t>保护级别</w:t>
            </w:r>
          </w:p>
        </w:tc>
        <w:tc>
          <w:tcPr>
            <w:tcW w:w="647" w:type="pct"/>
            <w:tcBorders>
              <w:top w:val="single" w:color="auto" w:sz="4" w:space="0"/>
              <w:left w:val="nil"/>
              <w:bottom w:val="single" w:color="auto" w:sz="4" w:space="0"/>
              <w:right w:val="single" w:color="auto" w:sz="4" w:space="0"/>
            </w:tcBorders>
            <w:shd w:val="clear" w:color="auto" w:fill="B3C184"/>
            <w:noWrap/>
            <w:vAlign w:val="center"/>
          </w:tcPr>
          <w:p w14:paraId="457AF638">
            <w:pPr>
              <w:jc w:val="center"/>
              <w:rPr>
                <w:rFonts w:eastAsia="仿宋_GB2312"/>
                <w:b/>
                <w:bCs/>
              </w:rPr>
            </w:pPr>
            <w:r>
              <w:rPr>
                <w:rFonts w:eastAsia="仿宋_GB2312"/>
                <w:b/>
                <w:bCs/>
              </w:rPr>
              <w:t>红色名录等级</w:t>
            </w:r>
          </w:p>
        </w:tc>
      </w:tr>
      <w:tr w14:paraId="0A902257">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379BF713">
            <w:pPr>
              <w:jc w:val="center"/>
              <w:rPr>
                <w:rFonts w:eastAsia="仿宋_GB2312"/>
              </w:rPr>
            </w:pPr>
            <w:r>
              <w:rPr>
                <w:rFonts w:eastAsia="仿宋_GB2312"/>
              </w:rPr>
              <w:t>1</w:t>
            </w:r>
          </w:p>
        </w:tc>
        <w:tc>
          <w:tcPr>
            <w:tcW w:w="469" w:type="pct"/>
            <w:tcBorders>
              <w:top w:val="nil"/>
              <w:left w:val="single" w:color="auto" w:sz="4" w:space="0"/>
              <w:bottom w:val="single" w:color="auto" w:sz="4" w:space="0"/>
              <w:right w:val="single" w:color="auto" w:sz="4" w:space="0"/>
            </w:tcBorders>
            <w:shd w:val="clear" w:color="auto" w:fill="auto"/>
            <w:noWrap/>
            <w:vAlign w:val="center"/>
          </w:tcPr>
          <w:p w14:paraId="08698558">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14E2FA27">
            <w:pPr>
              <w:jc w:val="center"/>
              <w:rPr>
                <w:rFonts w:eastAsia="仿宋_GB2312"/>
              </w:rPr>
            </w:pPr>
            <w:r>
              <w:rPr>
                <w:rFonts w:eastAsia="仿宋_GB2312"/>
              </w:rPr>
              <w:t>鹤科</w:t>
            </w:r>
          </w:p>
        </w:tc>
        <w:tc>
          <w:tcPr>
            <w:tcW w:w="937" w:type="pct"/>
            <w:tcBorders>
              <w:top w:val="nil"/>
              <w:left w:val="nil"/>
              <w:bottom w:val="single" w:color="auto" w:sz="4" w:space="0"/>
              <w:right w:val="single" w:color="auto" w:sz="4" w:space="0"/>
            </w:tcBorders>
            <w:shd w:val="clear" w:color="auto" w:fill="auto"/>
            <w:noWrap/>
            <w:vAlign w:val="center"/>
          </w:tcPr>
          <w:p w14:paraId="0666DEA8">
            <w:pPr>
              <w:jc w:val="center"/>
              <w:rPr>
                <w:rFonts w:eastAsia="仿宋_GB2312"/>
              </w:rPr>
            </w:pPr>
            <w:r>
              <w:rPr>
                <w:rFonts w:eastAsia="仿宋_GB2312"/>
              </w:rPr>
              <w:t>白头鹤</w:t>
            </w:r>
          </w:p>
        </w:tc>
        <w:tc>
          <w:tcPr>
            <w:tcW w:w="1487" w:type="pct"/>
            <w:tcBorders>
              <w:top w:val="nil"/>
              <w:left w:val="nil"/>
              <w:bottom w:val="single" w:color="auto" w:sz="4" w:space="0"/>
              <w:right w:val="single" w:color="auto" w:sz="4" w:space="0"/>
            </w:tcBorders>
            <w:shd w:val="clear" w:color="auto" w:fill="auto"/>
            <w:noWrap/>
            <w:vAlign w:val="center"/>
          </w:tcPr>
          <w:p w14:paraId="3343C348">
            <w:pPr>
              <w:jc w:val="center"/>
              <w:rPr>
                <w:rFonts w:eastAsia="仿宋_GB2312"/>
                <w:i/>
                <w:iCs/>
              </w:rPr>
            </w:pPr>
            <w:r>
              <w:rPr>
                <w:rFonts w:eastAsia="仿宋_GB2312"/>
                <w:i/>
                <w:iCs/>
              </w:rPr>
              <w:t>Grus monacha</w:t>
            </w:r>
          </w:p>
        </w:tc>
        <w:tc>
          <w:tcPr>
            <w:tcW w:w="498" w:type="pct"/>
            <w:tcBorders>
              <w:top w:val="nil"/>
              <w:left w:val="nil"/>
              <w:bottom w:val="single" w:color="auto" w:sz="4" w:space="0"/>
              <w:right w:val="single" w:color="auto" w:sz="4" w:space="0"/>
            </w:tcBorders>
            <w:shd w:val="clear" w:color="auto" w:fill="auto"/>
            <w:noWrap/>
            <w:vAlign w:val="center"/>
          </w:tcPr>
          <w:p w14:paraId="4B2E6C67">
            <w:pPr>
              <w:jc w:val="center"/>
              <w:rPr>
                <w:rFonts w:eastAsia="仿宋_GB2312"/>
              </w:rPr>
            </w:pPr>
            <w:r>
              <w:rPr>
                <w:rFonts w:eastAsia="仿宋_GB2312"/>
              </w:rPr>
              <w:t>国家一级</w:t>
            </w:r>
          </w:p>
        </w:tc>
        <w:tc>
          <w:tcPr>
            <w:tcW w:w="647" w:type="pct"/>
            <w:tcBorders>
              <w:top w:val="nil"/>
              <w:left w:val="nil"/>
              <w:bottom w:val="single" w:color="auto" w:sz="4" w:space="0"/>
              <w:right w:val="single" w:color="auto" w:sz="4" w:space="0"/>
            </w:tcBorders>
            <w:shd w:val="clear" w:color="auto" w:fill="auto"/>
            <w:noWrap/>
            <w:vAlign w:val="center"/>
          </w:tcPr>
          <w:p w14:paraId="49AD8E2F">
            <w:pPr>
              <w:jc w:val="center"/>
              <w:rPr>
                <w:rFonts w:eastAsia="仿宋_GB2312"/>
              </w:rPr>
            </w:pPr>
            <w:r>
              <w:rPr>
                <w:rFonts w:eastAsia="仿宋_GB2312"/>
              </w:rPr>
              <w:t>EN</w:t>
            </w:r>
          </w:p>
        </w:tc>
      </w:tr>
      <w:tr w14:paraId="41A88A59">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0773067E">
            <w:pPr>
              <w:jc w:val="center"/>
              <w:rPr>
                <w:rFonts w:eastAsia="仿宋_GB2312"/>
              </w:rPr>
            </w:pPr>
            <w:r>
              <w:rPr>
                <w:rFonts w:eastAsia="仿宋_GB2312"/>
              </w:rPr>
              <w:t>2</w:t>
            </w:r>
          </w:p>
        </w:tc>
        <w:tc>
          <w:tcPr>
            <w:tcW w:w="469" w:type="pct"/>
            <w:tcBorders>
              <w:top w:val="nil"/>
              <w:left w:val="single" w:color="auto" w:sz="4" w:space="0"/>
              <w:bottom w:val="single" w:color="auto" w:sz="4" w:space="0"/>
              <w:right w:val="single" w:color="auto" w:sz="4" w:space="0"/>
            </w:tcBorders>
            <w:shd w:val="clear" w:color="auto" w:fill="auto"/>
            <w:noWrap/>
            <w:vAlign w:val="center"/>
          </w:tcPr>
          <w:p w14:paraId="71744A2A">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1D0705DC">
            <w:pPr>
              <w:jc w:val="center"/>
              <w:rPr>
                <w:rFonts w:eastAsia="仿宋_GB2312"/>
              </w:rPr>
            </w:pPr>
            <w:r>
              <w:rPr>
                <w:rFonts w:eastAsia="仿宋_GB2312"/>
              </w:rPr>
              <w:t>鹳科</w:t>
            </w:r>
          </w:p>
        </w:tc>
        <w:tc>
          <w:tcPr>
            <w:tcW w:w="937" w:type="pct"/>
            <w:tcBorders>
              <w:top w:val="nil"/>
              <w:left w:val="nil"/>
              <w:bottom w:val="single" w:color="auto" w:sz="4" w:space="0"/>
              <w:right w:val="single" w:color="auto" w:sz="4" w:space="0"/>
            </w:tcBorders>
            <w:shd w:val="clear" w:color="auto" w:fill="auto"/>
            <w:noWrap/>
            <w:vAlign w:val="center"/>
          </w:tcPr>
          <w:p w14:paraId="41A6F528">
            <w:pPr>
              <w:jc w:val="center"/>
              <w:rPr>
                <w:rFonts w:eastAsia="仿宋_GB2312"/>
              </w:rPr>
            </w:pPr>
            <w:r>
              <w:rPr>
                <w:rFonts w:eastAsia="仿宋_GB2312"/>
              </w:rPr>
              <w:t>东方白鹳</w:t>
            </w:r>
          </w:p>
        </w:tc>
        <w:tc>
          <w:tcPr>
            <w:tcW w:w="1487" w:type="pct"/>
            <w:tcBorders>
              <w:top w:val="nil"/>
              <w:left w:val="nil"/>
              <w:bottom w:val="single" w:color="auto" w:sz="4" w:space="0"/>
              <w:right w:val="single" w:color="auto" w:sz="4" w:space="0"/>
            </w:tcBorders>
            <w:shd w:val="clear" w:color="auto" w:fill="auto"/>
            <w:noWrap/>
            <w:vAlign w:val="center"/>
          </w:tcPr>
          <w:p w14:paraId="2670282C">
            <w:pPr>
              <w:jc w:val="center"/>
              <w:rPr>
                <w:rFonts w:eastAsia="仿宋_GB2312"/>
                <w:i/>
                <w:iCs/>
              </w:rPr>
            </w:pPr>
            <w:r>
              <w:rPr>
                <w:rFonts w:eastAsia="仿宋_GB2312"/>
                <w:i/>
                <w:iCs/>
              </w:rPr>
              <w:t>Ciconia boyciana</w:t>
            </w:r>
          </w:p>
        </w:tc>
        <w:tc>
          <w:tcPr>
            <w:tcW w:w="498" w:type="pct"/>
            <w:tcBorders>
              <w:top w:val="nil"/>
              <w:left w:val="nil"/>
              <w:bottom w:val="single" w:color="auto" w:sz="4" w:space="0"/>
              <w:right w:val="single" w:color="auto" w:sz="4" w:space="0"/>
            </w:tcBorders>
            <w:shd w:val="clear" w:color="auto" w:fill="auto"/>
            <w:noWrap/>
            <w:vAlign w:val="center"/>
          </w:tcPr>
          <w:p w14:paraId="5B1D3DC3">
            <w:pPr>
              <w:jc w:val="center"/>
              <w:rPr>
                <w:rFonts w:eastAsia="仿宋_GB2312"/>
              </w:rPr>
            </w:pPr>
            <w:r>
              <w:rPr>
                <w:rFonts w:eastAsia="仿宋_GB2312"/>
              </w:rPr>
              <w:t>国家一级</w:t>
            </w:r>
          </w:p>
        </w:tc>
        <w:tc>
          <w:tcPr>
            <w:tcW w:w="647" w:type="pct"/>
            <w:tcBorders>
              <w:top w:val="nil"/>
              <w:left w:val="nil"/>
              <w:bottom w:val="single" w:color="auto" w:sz="4" w:space="0"/>
              <w:right w:val="single" w:color="auto" w:sz="4" w:space="0"/>
            </w:tcBorders>
            <w:shd w:val="clear" w:color="auto" w:fill="auto"/>
            <w:noWrap/>
            <w:vAlign w:val="center"/>
          </w:tcPr>
          <w:p w14:paraId="1681623C">
            <w:pPr>
              <w:jc w:val="center"/>
              <w:rPr>
                <w:rFonts w:eastAsia="仿宋_GB2312"/>
              </w:rPr>
            </w:pPr>
            <w:r>
              <w:rPr>
                <w:rFonts w:eastAsia="仿宋_GB2312"/>
              </w:rPr>
              <w:t>EN</w:t>
            </w:r>
          </w:p>
        </w:tc>
      </w:tr>
      <w:tr w14:paraId="3D80214A">
        <w:tblPrEx>
          <w:tblCellMar>
            <w:top w:w="0" w:type="dxa"/>
            <w:left w:w="108" w:type="dxa"/>
            <w:bottom w:w="0" w:type="dxa"/>
            <w:right w:w="108" w:type="dxa"/>
          </w:tblCellMar>
        </w:tblPrEx>
        <w:trPr>
          <w:trHeight w:val="90"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0A0D10F1">
            <w:pPr>
              <w:jc w:val="center"/>
              <w:rPr>
                <w:rFonts w:eastAsia="仿宋_GB2312"/>
              </w:rPr>
            </w:pPr>
            <w:r>
              <w:rPr>
                <w:rFonts w:eastAsia="仿宋_GB2312"/>
              </w:rPr>
              <w:t>3</w:t>
            </w:r>
          </w:p>
        </w:tc>
        <w:tc>
          <w:tcPr>
            <w:tcW w:w="469" w:type="pct"/>
            <w:tcBorders>
              <w:top w:val="nil"/>
              <w:left w:val="single" w:color="auto" w:sz="4" w:space="0"/>
              <w:bottom w:val="single" w:color="auto" w:sz="4" w:space="0"/>
              <w:right w:val="single" w:color="auto" w:sz="4" w:space="0"/>
            </w:tcBorders>
            <w:shd w:val="clear" w:color="auto" w:fill="auto"/>
            <w:noWrap/>
            <w:vAlign w:val="center"/>
          </w:tcPr>
          <w:p w14:paraId="5B060815">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74E46F1C">
            <w:pPr>
              <w:jc w:val="center"/>
              <w:rPr>
                <w:rFonts w:eastAsia="仿宋_GB2312"/>
              </w:rPr>
            </w:pPr>
            <w:r>
              <w:rPr>
                <w:rFonts w:eastAsia="仿宋_GB2312"/>
              </w:rPr>
              <w:t>鹮科</w:t>
            </w:r>
          </w:p>
        </w:tc>
        <w:tc>
          <w:tcPr>
            <w:tcW w:w="937" w:type="pct"/>
            <w:tcBorders>
              <w:top w:val="nil"/>
              <w:left w:val="nil"/>
              <w:bottom w:val="single" w:color="auto" w:sz="4" w:space="0"/>
              <w:right w:val="single" w:color="auto" w:sz="4" w:space="0"/>
            </w:tcBorders>
            <w:shd w:val="clear" w:color="auto" w:fill="auto"/>
            <w:noWrap/>
            <w:vAlign w:val="center"/>
          </w:tcPr>
          <w:p w14:paraId="21EE43AE">
            <w:pPr>
              <w:jc w:val="center"/>
              <w:rPr>
                <w:rFonts w:eastAsia="仿宋_GB2312"/>
              </w:rPr>
            </w:pPr>
            <w:r>
              <w:rPr>
                <w:rFonts w:eastAsia="仿宋_GB2312"/>
              </w:rPr>
              <w:t>黑脸琵鹭</w:t>
            </w:r>
          </w:p>
        </w:tc>
        <w:tc>
          <w:tcPr>
            <w:tcW w:w="1487" w:type="pct"/>
            <w:tcBorders>
              <w:top w:val="nil"/>
              <w:left w:val="nil"/>
              <w:bottom w:val="single" w:color="auto" w:sz="4" w:space="0"/>
              <w:right w:val="single" w:color="auto" w:sz="4" w:space="0"/>
            </w:tcBorders>
            <w:shd w:val="clear" w:color="auto" w:fill="auto"/>
            <w:noWrap/>
            <w:vAlign w:val="center"/>
          </w:tcPr>
          <w:p w14:paraId="5F92E9B0">
            <w:pPr>
              <w:jc w:val="center"/>
              <w:rPr>
                <w:rFonts w:eastAsia="仿宋_GB2312"/>
                <w:i/>
                <w:iCs/>
              </w:rPr>
            </w:pPr>
            <w:r>
              <w:rPr>
                <w:rFonts w:eastAsia="仿宋_GB2312"/>
                <w:i/>
                <w:iCs/>
              </w:rPr>
              <w:t>Platalea minor</w:t>
            </w:r>
          </w:p>
        </w:tc>
        <w:tc>
          <w:tcPr>
            <w:tcW w:w="498" w:type="pct"/>
            <w:tcBorders>
              <w:top w:val="nil"/>
              <w:left w:val="nil"/>
              <w:bottom w:val="single" w:color="auto" w:sz="4" w:space="0"/>
              <w:right w:val="single" w:color="auto" w:sz="4" w:space="0"/>
            </w:tcBorders>
            <w:shd w:val="clear" w:color="auto" w:fill="auto"/>
            <w:noWrap/>
            <w:vAlign w:val="center"/>
          </w:tcPr>
          <w:p w14:paraId="166851E4">
            <w:pPr>
              <w:jc w:val="center"/>
              <w:rPr>
                <w:rFonts w:eastAsia="仿宋_GB2312"/>
              </w:rPr>
            </w:pPr>
            <w:r>
              <w:rPr>
                <w:rFonts w:eastAsia="仿宋_GB2312"/>
              </w:rPr>
              <w:t>国家一级</w:t>
            </w:r>
          </w:p>
        </w:tc>
        <w:tc>
          <w:tcPr>
            <w:tcW w:w="647" w:type="pct"/>
            <w:tcBorders>
              <w:top w:val="nil"/>
              <w:left w:val="nil"/>
              <w:bottom w:val="single" w:color="auto" w:sz="4" w:space="0"/>
              <w:right w:val="single" w:color="auto" w:sz="4" w:space="0"/>
            </w:tcBorders>
            <w:shd w:val="clear" w:color="auto" w:fill="auto"/>
            <w:noWrap/>
            <w:vAlign w:val="center"/>
          </w:tcPr>
          <w:p w14:paraId="6C73A20E">
            <w:pPr>
              <w:jc w:val="center"/>
              <w:rPr>
                <w:rFonts w:eastAsia="仿宋_GB2312"/>
              </w:rPr>
            </w:pPr>
            <w:r>
              <w:rPr>
                <w:rFonts w:eastAsia="仿宋_GB2312"/>
              </w:rPr>
              <w:t>EN</w:t>
            </w:r>
          </w:p>
        </w:tc>
      </w:tr>
      <w:tr w14:paraId="42FAC6F5">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20861617">
            <w:pPr>
              <w:jc w:val="center"/>
              <w:rPr>
                <w:rFonts w:eastAsia="仿宋_GB2312"/>
              </w:rPr>
            </w:pPr>
            <w:r>
              <w:rPr>
                <w:rFonts w:eastAsia="仿宋_GB2312"/>
              </w:rPr>
              <w:t>4</w:t>
            </w:r>
          </w:p>
        </w:tc>
        <w:tc>
          <w:tcPr>
            <w:tcW w:w="469" w:type="pct"/>
            <w:tcBorders>
              <w:top w:val="nil"/>
              <w:left w:val="single" w:color="auto" w:sz="4" w:space="0"/>
              <w:bottom w:val="single" w:color="auto" w:sz="4" w:space="0"/>
              <w:right w:val="single" w:color="auto" w:sz="4" w:space="0"/>
            </w:tcBorders>
            <w:shd w:val="clear" w:color="auto" w:fill="auto"/>
            <w:noWrap/>
            <w:vAlign w:val="center"/>
          </w:tcPr>
          <w:p w14:paraId="1C9EA640">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183A265E">
            <w:pPr>
              <w:jc w:val="center"/>
              <w:rPr>
                <w:rFonts w:eastAsia="仿宋_GB2312"/>
              </w:rPr>
            </w:pPr>
            <w:r>
              <w:rPr>
                <w:rFonts w:eastAsia="仿宋_GB2312"/>
              </w:rPr>
              <w:t>鹀科</w:t>
            </w:r>
          </w:p>
        </w:tc>
        <w:tc>
          <w:tcPr>
            <w:tcW w:w="937" w:type="pct"/>
            <w:tcBorders>
              <w:top w:val="nil"/>
              <w:left w:val="nil"/>
              <w:bottom w:val="single" w:color="auto" w:sz="4" w:space="0"/>
              <w:right w:val="single" w:color="auto" w:sz="4" w:space="0"/>
            </w:tcBorders>
            <w:shd w:val="clear" w:color="auto" w:fill="auto"/>
            <w:noWrap/>
            <w:vAlign w:val="center"/>
          </w:tcPr>
          <w:p w14:paraId="05C2108B">
            <w:pPr>
              <w:jc w:val="center"/>
              <w:rPr>
                <w:rFonts w:eastAsia="仿宋_GB2312"/>
              </w:rPr>
            </w:pPr>
            <w:r>
              <w:rPr>
                <w:rFonts w:eastAsia="仿宋_GB2312"/>
              </w:rPr>
              <w:t>黄胸鹀</w:t>
            </w:r>
          </w:p>
        </w:tc>
        <w:tc>
          <w:tcPr>
            <w:tcW w:w="1487" w:type="pct"/>
            <w:tcBorders>
              <w:top w:val="nil"/>
              <w:left w:val="nil"/>
              <w:bottom w:val="single" w:color="auto" w:sz="4" w:space="0"/>
              <w:right w:val="single" w:color="auto" w:sz="4" w:space="0"/>
            </w:tcBorders>
            <w:shd w:val="clear" w:color="auto" w:fill="auto"/>
            <w:noWrap/>
            <w:vAlign w:val="center"/>
          </w:tcPr>
          <w:p w14:paraId="4ABC1633">
            <w:pPr>
              <w:jc w:val="center"/>
              <w:rPr>
                <w:rFonts w:eastAsia="仿宋_GB2312"/>
                <w:i/>
                <w:iCs/>
              </w:rPr>
            </w:pPr>
            <w:r>
              <w:rPr>
                <w:rFonts w:eastAsia="仿宋_GB2312"/>
                <w:i/>
                <w:iCs/>
              </w:rPr>
              <w:t>Emberiza aureola</w:t>
            </w:r>
          </w:p>
        </w:tc>
        <w:tc>
          <w:tcPr>
            <w:tcW w:w="498" w:type="pct"/>
            <w:tcBorders>
              <w:top w:val="nil"/>
              <w:left w:val="nil"/>
              <w:bottom w:val="single" w:color="auto" w:sz="4" w:space="0"/>
              <w:right w:val="single" w:color="auto" w:sz="4" w:space="0"/>
            </w:tcBorders>
            <w:shd w:val="clear" w:color="auto" w:fill="auto"/>
            <w:noWrap/>
            <w:vAlign w:val="center"/>
          </w:tcPr>
          <w:p w14:paraId="1C479E04">
            <w:pPr>
              <w:jc w:val="center"/>
              <w:rPr>
                <w:rFonts w:eastAsia="仿宋_GB2312"/>
              </w:rPr>
            </w:pPr>
            <w:r>
              <w:rPr>
                <w:rFonts w:eastAsia="仿宋_GB2312"/>
              </w:rPr>
              <w:t>国家一级</w:t>
            </w:r>
          </w:p>
        </w:tc>
        <w:tc>
          <w:tcPr>
            <w:tcW w:w="647" w:type="pct"/>
            <w:tcBorders>
              <w:top w:val="nil"/>
              <w:left w:val="nil"/>
              <w:bottom w:val="single" w:color="auto" w:sz="4" w:space="0"/>
              <w:right w:val="single" w:color="auto" w:sz="4" w:space="0"/>
            </w:tcBorders>
            <w:shd w:val="clear" w:color="auto" w:fill="auto"/>
            <w:noWrap/>
            <w:vAlign w:val="center"/>
          </w:tcPr>
          <w:p w14:paraId="01FBF1F0">
            <w:pPr>
              <w:jc w:val="center"/>
              <w:rPr>
                <w:rFonts w:eastAsia="仿宋_GB2312"/>
              </w:rPr>
            </w:pPr>
            <w:r>
              <w:rPr>
                <w:rFonts w:eastAsia="仿宋_GB2312"/>
              </w:rPr>
              <w:t>EN</w:t>
            </w:r>
          </w:p>
        </w:tc>
      </w:tr>
      <w:tr w14:paraId="1B83625F">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1897824F">
            <w:pPr>
              <w:jc w:val="center"/>
              <w:rPr>
                <w:rFonts w:eastAsia="仿宋_GB2312"/>
              </w:rPr>
            </w:pPr>
            <w:r>
              <w:rPr>
                <w:rFonts w:eastAsia="仿宋_GB2312"/>
              </w:rPr>
              <w:t>5</w:t>
            </w:r>
          </w:p>
        </w:tc>
        <w:tc>
          <w:tcPr>
            <w:tcW w:w="469" w:type="pct"/>
            <w:tcBorders>
              <w:top w:val="nil"/>
              <w:left w:val="single" w:color="auto" w:sz="4" w:space="0"/>
              <w:bottom w:val="single" w:color="auto" w:sz="4" w:space="0"/>
              <w:right w:val="single" w:color="auto" w:sz="4" w:space="0"/>
            </w:tcBorders>
            <w:shd w:val="clear" w:color="auto" w:fill="auto"/>
            <w:noWrap/>
            <w:vAlign w:val="center"/>
          </w:tcPr>
          <w:p w14:paraId="4E710189">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229E2A6C">
            <w:pPr>
              <w:jc w:val="center"/>
              <w:rPr>
                <w:rFonts w:eastAsia="仿宋_GB2312"/>
              </w:rPr>
            </w:pPr>
            <w:r>
              <w:rPr>
                <w:rFonts w:eastAsia="仿宋_GB2312"/>
              </w:rPr>
              <w:t>鸭科</w:t>
            </w:r>
          </w:p>
        </w:tc>
        <w:tc>
          <w:tcPr>
            <w:tcW w:w="937" w:type="pct"/>
            <w:tcBorders>
              <w:top w:val="nil"/>
              <w:left w:val="nil"/>
              <w:bottom w:val="single" w:color="auto" w:sz="4" w:space="0"/>
              <w:right w:val="single" w:color="auto" w:sz="4" w:space="0"/>
            </w:tcBorders>
            <w:shd w:val="clear" w:color="auto" w:fill="auto"/>
            <w:noWrap/>
            <w:vAlign w:val="center"/>
          </w:tcPr>
          <w:p w14:paraId="0A673283">
            <w:pPr>
              <w:jc w:val="center"/>
              <w:rPr>
                <w:rFonts w:eastAsia="仿宋_GB2312"/>
              </w:rPr>
            </w:pPr>
            <w:r>
              <w:rPr>
                <w:rFonts w:eastAsia="仿宋_GB2312"/>
              </w:rPr>
              <w:t>鸿雁</w:t>
            </w:r>
          </w:p>
        </w:tc>
        <w:tc>
          <w:tcPr>
            <w:tcW w:w="1487" w:type="pct"/>
            <w:tcBorders>
              <w:top w:val="nil"/>
              <w:left w:val="nil"/>
              <w:bottom w:val="single" w:color="auto" w:sz="4" w:space="0"/>
              <w:right w:val="single" w:color="auto" w:sz="4" w:space="0"/>
            </w:tcBorders>
            <w:shd w:val="clear" w:color="auto" w:fill="auto"/>
            <w:noWrap/>
            <w:vAlign w:val="center"/>
          </w:tcPr>
          <w:p w14:paraId="44B2591C">
            <w:pPr>
              <w:jc w:val="center"/>
              <w:rPr>
                <w:rFonts w:eastAsia="仿宋_GB2312"/>
                <w:i/>
                <w:iCs/>
              </w:rPr>
            </w:pPr>
            <w:r>
              <w:rPr>
                <w:rFonts w:eastAsia="仿宋_GB2312"/>
                <w:i/>
                <w:iCs/>
              </w:rPr>
              <w:t>Anser cygnoid</w:t>
            </w:r>
          </w:p>
        </w:tc>
        <w:tc>
          <w:tcPr>
            <w:tcW w:w="498" w:type="pct"/>
            <w:tcBorders>
              <w:top w:val="nil"/>
              <w:left w:val="nil"/>
              <w:bottom w:val="single" w:color="auto" w:sz="4" w:space="0"/>
              <w:right w:val="single" w:color="auto" w:sz="4" w:space="0"/>
            </w:tcBorders>
            <w:shd w:val="clear" w:color="auto" w:fill="auto"/>
            <w:noWrap/>
            <w:vAlign w:val="center"/>
          </w:tcPr>
          <w:p w14:paraId="32C5C628">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20895FC9">
            <w:pPr>
              <w:jc w:val="center"/>
              <w:rPr>
                <w:rFonts w:eastAsia="仿宋_GB2312"/>
              </w:rPr>
            </w:pPr>
            <w:r>
              <w:rPr>
                <w:rFonts w:eastAsia="仿宋_GB2312"/>
              </w:rPr>
              <w:t>VU</w:t>
            </w:r>
          </w:p>
        </w:tc>
      </w:tr>
      <w:tr w14:paraId="49E5B73C">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160FC626">
            <w:pPr>
              <w:jc w:val="center"/>
              <w:rPr>
                <w:rFonts w:eastAsia="仿宋_GB2312"/>
              </w:rPr>
            </w:pPr>
            <w:r>
              <w:rPr>
                <w:rFonts w:eastAsia="仿宋_GB2312"/>
              </w:rPr>
              <w:t>6</w:t>
            </w:r>
          </w:p>
        </w:tc>
        <w:tc>
          <w:tcPr>
            <w:tcW w:w="469" w:type="pct"/>
            <w:tcBorders>
              <w:top w:val="nil"/>
              <w:left w:val="single" w:color="auto" w:sz="4" w:space="0"/>
              <w:bottom w:val="single" w:color="auto" w:sz="4" w:space="0"/>
              <w:right w:val="single" w:color="auto" w:sz="4" w:space="0"/>
            </w:tcBorders>
            <w:vAlign w:val="center"/>
          </w:tcPr>
          <w:p w14:paraId="28412C5E">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05BC5E00">
            <w:pPr>
              <w:jc w:val="center"/>
              <w:rPr>
                <w:rFonts w:eastAsia="仿宋_GB2312"/>
              </w:rPr>
            </w:pPr>
            <w:r>
              <w:rPr>
                <w:rFonts w:eastAsia="仿宋_GB2312"/>
              </w:rPr>
              <w:t>鸭科</w:t>
            </w:r>
          </w:p>
        </w:tc>
        <w:tc>
          <w:tcPr>
            <w:tcW w:w="937" w:type="pct"/>
            <w:tcBorders>
              <w:top w:val="nil"/>
              <w:left w:val="nil"/>
              <w:bottom w:val="single" w:color="auto" w:sz="4" w:space="0"/>
              <w:right w:val="single" w:color="auto" w:sz="4" w:space="0"/>
            </w:tcBorders>
            <w:shd w:val="clear" w:color="auto" w:fill="auto"/>
            <w:noWrap/>
            <w:vAlign w:val="center"/>
          </w:tcPr>
          <w:p w14:paraId="5BD9EA71">
            <w:pPr>
              <w:jc w:val="center"/>
              <w:rPr>
                <w:rFonts w:eastAsia="仿宋_GB2312"/>
              </w:rPr>
            </w:pPr>
            <w:r>
              <w:rPr>
                <w:rFonts w:eastAsia="仿宋_GB2312"/>
              </w:rPr>
              <w:t>白额雁</w:t>
            </w:r>
          </w:p>
        </w:tc>
        <w:tc>
          <w:tcPr>
            <w:tcW w:w="1487" w:type="pct"/>
            <w:tcBorders>
              <w:top w:val="nil"/>
              <w:left w:val="nil"/>
              <w:bottom w:val="single" w:color="auto" w:sz="4" w:space="0"/>
              <w:right w:val="single" w:color="auto" w:sz="4" w:space="0"/>
            </w:tcBorders>
            <w:shd w:val="clear" w:color="auto" w:fill="auto"/>
            <w:noWrap/>
            <w:vAlign w:val="center"/>
          </w:tcPr>
          <w:p w14:paraId="3B29B74E">
            <w:pPr>
              <w:jc w:val="center"/>
              <w:rPr>
                <w:rFonts w:eastAsia="仿宋_GB2312"/>
                <w:i/>
                <w:iCs/>
              </w:rPr>
            </w:pPr>
            <w:r>
              <w:rPr>
                <w:rFonts w:eastAsia="仿宋_GB2312"/>
                <w:i/>
                <w:iCs/>
              </w:rPr>
              <w:t>Anser albifrons</w:t>
            </w:r>
          </w:p>
        </w:tc>
        <w:tc>
          <w:tcPr>
            <w:tcW w:w="498" w:type="pct"/>
            <w:tcBorders>
              <w:top w:val="nil"/>
              <w:left w:val="nil"/>
              <w:bottom w:val="single" w:color="auto" w:sz="4" w:space="0"/>
              <w:right w:val="single" w:color="auto" w:sz="4" w:space="0"/>
            </w:tcBorders>
            <w:shd w:val="clear" w:color="auto" w:fill="auto"/>
            <w:noWrap/>
            <w:vAlign w:val="center"/>
          </w:tcPr>
          <w:p w14:paraId="1153F95B">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4FD86F29">
            <w:pPr>
              <w:jc w:val="center"/>
              <w:rPr>
                <w:rFonts w:eastAsia="仿宋_GB2312"/>
              </w:rPr>
            </w:pPr>
            <w:r>
              <w:rPr>
                <w:rFonts w:eastAsia="仿宋_GB2312"/>
              </w:rPr>
              <w:t>LC</w:t>
            </w:r>
          </w:p>
        </w:tc>
      </w:tr>
      <w:tr w14:paraId="1370DFD6">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610425CA">
            <w:pPr>
              <w:jc w:val="center"/>
              <w:rPr>
                <w:rFonts w:eastAsia="仿宋_GB2312"/>
              </w:rPr>
            </w:pPr>
            <w:r>
              <w:rPr>
                <w:rFonts w:eastAsia="仿宋_GB2312"/>
              </w:rPr>
              <w:t>7</w:t>
            </w:r>
          </w:p>
        </w:tc>
        <w:tc>
          <w:tcPr>
            <w:tcW w:w="469" w:type="pct"/>
            <w:tcBorders>
              <w:top w:val="nil"/>
              <w:left w:val="single" w:color="auto" w:sz="4" w:space="0"/>
              <w:bottom w:val="single" w:color="auto" w:sz="4" w:space="0"/>
              <w:right w:val="single" w:color="auto" w:sz="4" w:space="0"/>
            </w:tcBorders>
            <w:vAlign w:val="center"/>
          </w:tcPr>
          <w:p w14:paraId="3F3A9971">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05069A22">
            <w:pPr>
              <w:jc w:val="center"/>
              <w:rPr>
                <w:rFonts w:eastAsia="仿宋_GB2312"/>
              </w:rPr>
            </w:pPr>
            <w:r>
              <w:rPr>
                <w:rFonts w:eastAsia="仿宋_GB2312"/>
              </w:rPr>
              <w:t>鸭科</w:t>
            </w:r>
          </w:p>
        </w:tc>
        <w:tc>
          <w:tcPr>
            <w:tcW w:w="937" w:type="pct"/>
            <w:tcBorders>
              <w:top w:val="nil"/>
              <w:left w:val="nil"/>
              <w:bottom w:val="single" w:color="auto" w:sz="4" w:space="0"/>
              <w:right w:val="single" w:color="auto" w:sz="4" w:space="0"/>
            </w:tcBorders>
            <w:shd w:val="clear" w:color="auto" w:fill="auto"/>
            <w:noWrap/>
            <w:vAlign w:val="center"/>
          </w:tcPr>
          <w:p w14:paraId="423501A9">
            <w:pPr>
              <w:jc w:val="center"/>
              <w:rPr>
                <w:rFonts w:eastAsia="仿宋_GB2312"/>
              </w:rPr>
            </w:pPr>
            <w:r>
              <w:rPr>
                <w:rFonts w:eastAsia="仿宋_GB2312"/>
              </w:rPr>
              <w:t>小天鹅</w:t>
            </w:r>
          </w:p>
        </w:tc>
        <w:tc>
          <w:tcPr>
            <w:tcW w:w="1487" w:type="pct"/>
            <w:tcBorders>
              <w:top w:val="nil"/>
              <w:left w:val="nil"/>
              <w:bottom w:val="single" w:color="auto" w:sz="4" w:space="0"/>
              <w:right w:val="single" w:color="auto" w:sz="4" w:space="0"/>
            </w:tcBorders>
            <w:shd w:val="clear" w:color="auto" w:fill="auto"/>
            <w:noWrap/>
            <w:vAlign w:val="center"/>
          </w:tcPr>
          <w:p w14:paraId="2BD77938">
            <w:pPr>
              <w:jc w:val="center"/>
              <w:rPr>
                <w:rFonts w:eastAsia="仿宋_GB2312"/>
                <w:i/>
                <w:iCs/>
              </w:rPr>
            </w:pPr>
            <w:r>
              <w:rPr>
                <w:rFonts w:eastAsia="仿宋_GB2312"/>
                <w:i/>
                <w:iCs/>
              </w:rPr>
              <w:t>Cygnus columbianus</w:t>
            </w:r>
          </w:p>
        </w:tc>
        <w:tc>
          <w:tcPr>
            <w:tcW w:w="498" w:type="pct"/>
            <w:tcBorders>
              <w:top w:val="nil"/>
              <w:left w:val="nil"/>
              <w:bottom w:val="single" w:color="auto" w:sz="4" w:space="0"/>
              <w:right w:val="single" w:color="auto" w:sz="4" w:space="0"/>
            </w:tcBorders>
            <w:shd w:val="clear" w:color="auto" w:fill="auto"/>
            <w:noWrap/>
            <w:vAlign w:val="center"/>
          </w:tcPr>
          <w:p w14:paraId="3F6A03EB">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0769F81B">
            <w:pPr>
              <w:jc w:val="center"/>
              <w:rPr>
                <w:rFonts w:eastAsia="仿宋_GB2312"/>
              </w:rPr>
            </w:pPr>
            <w:r>
              <w:rPr>
                <w:rFonts w:eastAsia="仿宋_GB2312"/>
              </w:rPr>
              <w:t>NT</w:t>
            </w:r>
          </w:p>
        </w:tc>
      </w:tr>
      <w:tr w14:paraId="2C46B317">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43CE1D4D">
            <w:pPr>
              <w:jc w:val="center"/>
              <w:rPr>
                <w:rFonts w:eastAsia="仿宋_GB2312"/>
              </w:rPr>
            </w:pPr>
            <w:r>
              <w:rPr>
                <w:rFonts w:eastAsia="仿宋_GB2312"/>
              </w:rPr>
              <w:t>8</w:t>
            </w:r>
          </w:p>
        </w:tc>
        <w:tc>
          <w:tcPr>
            <w:tcW w:w="469" w:type="pct"/>
            <w:tcBorders>
              <w:top w:val="nil"/>
              <w:left w:val="single" w:color="auto" w:sz="4" w:space="0"/>
              <w:bottom w:val="single" w:color="auto" w:sz="4" w:space="0"/>
              <w:right w:val="single" w:color="auto" w:sz="4" w:space="0"/>
            </w:tcBorders>
            <w:vAlign w:val="center"/>
          </w:tcPr>
          <w:p w14:paraId="2A1114F5">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21695F56">
            <w:pPr>
              <w:jc w:val="center"/>
              <w:rPr>
                <w:rFonts w:eastAsia="仿宋_GB2312"/>
              </w:rPr>
            </w:pPr>
            <w:r>
              <w:rPr>
                <w:rFonts w:eastAsia="仿宋_GB2312"/>
              </w:rPr>
              <w:t>鸭科</w:t>
            </w:r>
          </w:p>
        </w:tc>
        <w:tc>
          <w:tcPr>
            <w:tcW w:w="937" w:type="pct"/>
            <w:tcBorders>
              <w:top w:val="nil"/>
              <w:left w:val="nil"/>
              <w:bottom w:val="single" w:color="auto" w:sz="4" w:space="0"/>
              <w:right w:val="single" w:color="auto" w:sz="4" w:space="0"/>
            </w:tcBorders>
            <w:shd w:val="clear" w:color="auto" w:fill="auto"/>
            <w:noWrap/>
            <w:vAlign w:val="center"/>
          </w:tcPr>
          <w:p w14:paraId="2D6C6DE5">
            <w:pPr>
              <w:jc w:val="center"/>
              <w:rPr>
                <w:rFonts w:eastAsia="仿宋_GB2312"/>
              </w:rPr>
            </w:pPr>
            <w:r>
              <w:rPr>
                <w:rFonts w:eastAsia="仿宋_GB2312"/>
              </w:rPr>
              <w:t>鸳鸯</w:t>
            </w:r>
          </w:p>
        </w:tc>
        <w:tc>
          <w:tcPr>
            <w:tcW w:w="1487" w:type="pct"/>
            <w:tcBorders>
              <w:top w:val="nil"/>
              <w:left w:val="nil"/>
              <w:bottom w:val="single" w:color="auto" w:sz="4" w:space="0"/>
              <w:right w:val="single" w:color="auto" w:sz="4" w:space="0"/>
            </w:tcBorders>
            <w:shd w:val="clear" w:color="auto" w:fill="auto"/>
            <w:noWrap/>
            <w:vAlign w:val="center"/>
          </w:tcPr>
          <w:p w14:paraId="0EF78439">
            <w:pPr>
              <w:jc w:val="center"/>
              <w:rPr>
                <w:rFonts w:eastAsia="仿宋_GB2312"/>
                <w:i/>
                <w:iCs/>
              </w:rPr>
            </w:pPr>
            <w:r>
              <w:rPr>
                <w:rFonts w:eastAsia="仿宋_GB2312"/>
                <w:i/>
                <w:iCs/>
              </w:rPr>
              <w:t>Aix galericulata</w:t>
            </w:r>
          </w:p>
        </w:tc>
        <w:tc>
          <w:tcPr>
            <w:tcW w:w="498" w:type="pct"/>
            <w:tcBorders>
              <w:top w:val="nil"/>
              <w:left w:val="nil"/>
              <w:bottom w:val="single" w:color="auto" w:sz="4" w:space="0"/>
              <w:right w:val="single" w:color="auto" w:sz="4" w:space="0"/>
            </w:tcBorders>
            <w:shd w:val="clear" w:color="auto" w:fill="auto"/>
            <w:noWrap/>
            <w:vAlign w:val="center"/>
          </w:tcPr>
          <w:p w14:paraId="57946EA7">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03339B40">
            <w:pPr>
              <w:jc w:val="center"/>
              <w:rPr>
                <w:rFonts w:eastAsia="仿宋_GB2312"/>
              </w:rPr>
            </w:pPr>
            <w:r>
              <w:rPr>
                <w:rFonts w:eastAsia="仿宋_GB2312"/>
              </w:rPr>
              <w:t>NT</w:t>
            </w:r>
          </w:p>
        </w:tc>
      </w:tr>
      <w:tr w14:paraId="6E7257A1">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7675E6C0">
            <w:pPr>
              <w:jc w:val="center"/>
              <w:rPr>
                <w:rFonts w:eastAsia="仿宋_GB2312"/>
              </w:rPr>
            </w:pPr>
            <w:r>
              <w:rPr>
                <w:rFonts w:eastAsia="仿宋_GB2312"/>
              </w:rPr>
              <w:t>9</w:t>
            </w:r>
          </w:p>
        </w:tc>
        <w:tc>
          <w:tcPr>
            <w:tcW w:w="469" w:type="pct"/>
            <w:tcBorders>
              <w:top w:val="nil"/>
              <w:left w:val="single" w:color="auto" w:sz="4" w:space="0"/>
              <w:bottom w:val="single" w:color="auto" w:sz="4" w:space="0"/>
              <w:right w:val="single" w:color="auto" w:sz="4" w:space="0"/>
            </w:tcBorders>
            <w:vAlign w:val="center"/>
          </w:tcPr>
          <w:p w14:paraId="619B88EE">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7B29BBF1">
            <w:pPr>
              <w:jc w:val="center"/>
              <w:rPr>
                <w:rFonts w:eastAsia="仿宋_GB2312"/>
              </w:rPr>
            </w:pPr>
            <w:r>
              <w:rPr>
                <w:rFonts w:eastAsia="仿宋_GB2312"/>
              </w:rPr>
              <w:t>鸭科</w:t>
            </w:r>
          </w:p>
        </w:tc>
        <w:tc>
          <w:tcPr>
            <w:tcW w:w="937" w:type="pct"/>
            <w:tcBorders>
              <w:top w:val="nil"/>
              <w:left w:val="nil"/>
              <w:bottom w:val="single" w:color="auto" w:sz="4" w:space="0"/>
              <w:right w:val="single" w:color="auto" w:sz="4" w:space="0"/>
            </w:tcBorders>
            <w:shd w:val="clear" w:color="auto" w:fill="auto"/>
            <w:noWrap/>
            <w:vAlign w:val="center"/>
          </w:tcPr>
          <w:p w14:paraId="2483411B">
            <w:pPr>
              <w:jc w:val="center"/>
              <w:rPr>
                <w:rFonts w:eastAsia="仿宋_GB2312"/>
              </w:rPr>
            </w:pPr>
            <w:r>
              <w:rPr>
                <w:rFonts w:eastAsia="仿宋_GB2312"/>
              </w:rPr>
              <w:t>花脸鸭</w:t>
            </w:r>
          </w:p>
        </w:tc>
        <w:tc>
          <w:tcPr>
            <w:tcW w:w="1487" w:type="pct"/>
            <w:tcBorders>
              <w:top w:val="nil"/>
              <w:left w:val="nil"/>
              <w:bottom w:val="single" w:color="auto" w:sz="4" w:space="0"/>
              <w:right w:val="single" w:color="auto" w:sz="4" w:space="0"/>
            </w:tcBorders>
            <w:shd w:val="clear" w:color="auto" w:fill="auto"/>
            <w:noWrap/>
            <w:vAlign w:val="center"/>
          </w:tcPr>
          <w:p w14:paraId="673E0C4B">
            <w:pPr>
              <w:jc w:val="center"/>
              <w:rPr>
                <w:rFonts w:eastAsia="仿宋_GB2312"/>
                <w:i/>
                <w:iCs/>
              </w:rPr>
            </w:pPr>
            <w:r>
              <w:rPr>
                <w:rFonts w:eastAsia="仿宋_GB2312"/>
                <w:i/>
                <w:iCs/>
              </w:rPr>
              <w:t>Sibirionetta formosa</w:t>
            </w:r>
          </w:p>
        </w:tc>
        <w:tc>
          <w:tcPr>
            <w:tcW w:w="498" w:type="pct"/>
            <w:tcBorders>
              <w:top w:val="nil"/>
              <w:left w:val="nil"/>
              <w:bottom w:val="single" w:color="auto" w:sz="4" w:space="0"/>
              <w:right w:val="single" w:color="auto" w:sz="4" w:space="0"/>
            </w:tcBorders>
            <w:shd w:val="clear" w:color="auto" w:fill="auto"/>
            <w:noWrap/>
            <w:vAlign w:val="center"/>
          </w:tcPr>
          <w:p w14:paraId="2BB3975D">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39C3DD3E">
            <w:pPr>
              <w:jc w:val="center"/>
              <w:rPr>
                <w:rFonts w:eastAsia="仿宋_GB2312"/>
              </w:rPr>
            </w:pPr>
            <w:r>
              <w:rPr>
                <w:rFonts w:eastAsia="仿宋_GB2312"/>
              </w:rPr>
              <w:t>NT</w:t>
            </w:r>
          </w:p>
        </w:tc>
      </w:tr>
      <w:tr w14:paraId="29CBBFBD">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D6A5677">
            <w:pPr>
              <w:jc w:val="center"/>
              <w:rPr>
                <w:rFonts w:eastAsia="仿宋_GB2312"/>
              </w:rPr>
            </w:pPr>
            <w:r>
              <w:rPr>
                <w:rFonts w:eastAsia="仿宋_GB2312"/>
              </w:rPr>
              <w:t>10</w:t>
            </w:r>
          </w:p>
        </w:tc>
        <w:tc>
          <w:tcPr>
            <w:tcW w:w="469" w:type="pct"/>
            <w:tcBorders>
              <w:top w:val="nil"/>
              <w:left w:val="single" w:color="auto" w:sz="4" w:space="0"/>
              <w:bottom w:val="single" w:color="auto" w:sz="4" w:space="0"/>
              <w:right w:val="single" w:color="auto" w:sz="4" w:space="0"/>
            </w:tcBorders>
            <w:vAlign w:val="center"/>
          </w:tcPr>
          <w:p w14:paraId="76417A56">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5910587F">
            <w:pPr>
              <w:jc w:val="center"/>
              <w:rPr>
                <w:rFonts w:eastAsia="仿宋_GB2312"/>
              </w:rPr>
            </w:pPr>
            <w:r>
              <w:rPr>
                <w:rFonts w:eastAsia="仿宋_GB2312"/>
              </w:rPr>
              <w:t>鸭科</w:t>
            </w:r>
          </w:p>
        </w:tc>
        <w:tc>
          <w:tcPr>
            <w:tcW w:w="937" w:type="pct"/>
            <w:tcBorders>
              <w:top w:val="nil"/>
              <w:left w:val="nil"/>
              <w:bottom w:val="single" w:color="auto" w:sz="4" w:space="0"/>
              <w:right w:val="single" w:color="auto" w:sz="4" w:space="0"/>
            </w:tcBorders>
            <w:shd w:val="clear" w:color="auto" w:fill="auto"/>
            <w:noWrap/>
            <w:vAlign w:val="center"/>
          </w:tcPr>
          <w:p w14:paraId="34FC1497">
            <w:pPr>
              <w:jc w:val="center"/>
              <w:rPr>
                <w:rFonts w:eastAsia="仿宋_GB2312"/>
              </w:rPr>
            </w:pPr>
            <w:r>
              <w:rPr>
                <w:rFonts w:eastAsia="仿宋_GB2312"/>
              </w:rPr>
              <w:t>斑头秋沙鸭</w:t>
            </w:r>
          </w:p>
        </w:tc>
        <w:tc>
          <w:tcPr>
            <w:tcW w:w="1487" w:type="pct"/>
            <w:tcBorders>
              <w:top w:val="nil"/>
              <w:left w:val="nil"/>
              <w:bottom w:val="single" w:color="auto" w:sz="4" w:space="0"/>
              <w:right w:val="single" w:color="auto" w:sz="4" w:space="0"/>
            </w:tcBorders>
            <w:shd w:val="clear" w:color="auto" w:fill="auto"/>
            <w:noWrap/>
            <w:vAlign w:val="center"/>
          </w:tcPr>
          <w:p w14:paraId="59A2DE25">
            <w:pPr>
              <w:jc w:val="center"/>
              <w:rPr>
                <w:rFonts w:eastAsia="仿宋_GB2312"/>
                <w:i/>
                <w:iCs/>
              </w:rPr>
            </w:pPr>
            <w:r>
              <w:rPr>
                <w:rFonts w:eastAsia="仿宋_GB2312"/>
                <w:i/>
                <w:iCs/>
              </w:rPr>
              <w:t>Mergellus albellus</w:t>
            </w:r>
          </w:p>
        </w:tc>
        <w:tc>
          <w:tcPr>
            <w:tcW w:w="498" w:type="pct"/>
            <w:tcBorders>
              <w:top w:val="nil"/>
              <w:left w:val="nil"/>
              <w:bottom w:val="single" w:color="auto" w:sz="4" w:space="0"/>
              <w:right w:val="single" w:color="auto" w:sz="4" w:space="0"/>
            </w:tcBorders>
            <w:shd w:val="clear" w:color="auto" w:fill="auto"/>
            <w:noWrap/>
            <w:vAlign w:val="center"/>
          </w:tcPr>
          <w:p w14:paraId="700A2942">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79D2675C">
            <w:pPr>
              <w:jc w:val="center"/>
              <w:rPr>
                <w:rFonts w:eastAsia="仿宋_GB2312"/>
              </w:rPr>
            </w:pPr>
            <w:r>
              <w:rPr>
                <w:rFonts w:eastAsia="仿宋_GB2312"/>
              </w:rPr>
              <w:t>LC</w:t>
            </w:r>
          </w:p>
        </w:tc>
      </w:tr>
      <w:tr w14:paraId="630D5F5A">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180F197D">
            <w:pPr>
              <w:jc w:val="center"/>
              <w:rPr>
                <w:rFonts w:eastAsia="仿宋_GB2312"/>
              </w:rPr>
            </w:pPr>
            <w:r>
              <w:rPr>
                <w:rFonts w:eastAsia="仿宋_GB2312"/>
              </w:rPr>
              <w:t>11</w:t>
            </w:r>
          </w:p>
        </w:tc>
        <w:tc>
          <w:tcPr>
            <w:tcW w:w="469" w:type="pct"/>
            <w:tcBorders>
              <w:top w:val="nil"/>
              <w:left w:val="single" w:color="auto" w:sz="4" w:space="0"/>
              <w:bottom w:val="single" w:color="auto" w:sz="4" w:space="0"/>
              <w:right w:val="single" w:color="auto" w:sz="4" w:space="0"/>
            </w:tcBorders>
            <w:vAlign w:val="center"/>
          </w:tcPr>
          <w:p w14:paraId="43633356">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28F28AA9">
            <w:pPr>
              <w:jc w:val="center"/>
              <w:rPr>
                <w:rFonts w:eastAsia="仿宋_GB2312"/>
              </w:rPr>
            </w:pPr>
            <w:r>
              <w:rPr>
                <w:rFonts w:eastAsia="仿宋_GB2312"/>
              </w:rPr>
              <w:t>杜鹃科</w:t>
            </w:r>
          </w:p>
        </w:tc>
        <w:tc>
          <w:tcPr>
            <w:tcW w:w="937" w:type="pct"/>
            <w:tcBorders>
              <w:top w:val="nil"/>
              <w:left w:val="nil"/>
              <w:bottom w:val="single" w:color="auto" w:sz="4" w:space="0"/>
              <w:right w:val="single" w:color="auto" w:sz="4" w:space="0"/>
            </w:tcBorders>
            <w:shd w:val="clear" w:color="auto" w:fill="auto"/>
            <w:noWrap/>
            <w:vAlign w:val="center"/>
          </w:tcPr>
          <w:p w14:paraId="3BC2B37D">
            <w:pPr>
              <w:jc w:val="center"/>
              <w:rPr>
                <w:rFonts w:eastAsia="仿宋_GB2312"/>
              </w:rPr>
            </w:pPr>
            <w:r>
              <w:rPr>
                <w:rFonts w:eastAsia="仿宋_GB2312"/>
              </w:rPr>
              <w:t>小鸦鹃</w:t>
            </w:r>
          </w:p>
        </w:tc>
        <w:tc>
          <w:tcPr>
            <w:tcW w:w="1487" w:type="pct"/>
            <w:tcBorders>
              <w:top w:val="nil"/>
              <w:left w:val="nil"/>
              <w:bottom w:val="single" w:color="auto" w:sz="4" w:space="0"/>
              <w:right w:val="single" w:color="auto" w:sz="4" w:space="0"/>
            </w:tcBorders>
            <w:shd w:val="clear" w:color="auto" w:fill="auto"/>
            <w:noWrap/>
            <w:vAlign w:val="center"/>
          </w:tcPr>
          <w:p w14:paraId="4921584F">
            <w:pPr>
              <w:jc w:val="center"/>
              <w:rPr>
                <w:rFonts w:eastAsia="仿宋_GB2312"/>
                <w:i/>
                <w:iCs/>
              </w:rPr>
            </w:pPr>
            <w:r>
              <w:rPr>
                <w:rFonts w:eastAsia="仿宋_GB2312"/>
                <w:i/>
                <w:iCs/>
              </w:rPr>
              <w:t>Centropus bengalensis</w:t>
            </w:r>
          </w:p>
        </w:tc>
        <w:tc>
          <w:tcPr>
            <w:tcW w:w="498" w:type="pct"/>
            <w:tcBorders>
              <w:top w:val="nil"/>
              <w:left w:val="nil"/>
              <w:bottom w:val="single" w:color="auto" w:sz="4" w:space="0"/>
              <w:right w:val="single" w:color="auto" w:sz="4" w:space="0"/>
            </w:tcBorders>
            <w:shd w:val="clear" w:color="auto" w:fill="auto"/>
            <w:noWrap/>
            <w:vAlign w:val="center"/>
          </w:tcPr>
          <w:p w14:paraId="67B549C5">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601909D8">
            <w:pPr>
              <w:jc w:val="center"/>
              <w:rPr>
                <w:rFonts w:eastAsia="仿宋_GB2312"/>
              </w:rPr>
            </w:pPr>
            <w:r>
              <w:rPr>
                <w:rFonts w:eastAsia="仿宋_GB2312"/>
              </w:rPr>
              <w:t>LC</w:t>
            </w:r>
          </w:p>
        </w:tc>
      </w:tr>
      <w:tr w14:paraId="2EA334DF">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1EB80089">
            <w:pPr>
              <w:jc w:val="center"/>
              <w:rPr>
                <w:rFonts w:eastAsia="仿宋_GB2312"/>
              </w:rPr>
            </w:pPr>
            <w:r>
              <w:rPr>
                <w:rFonts w:eastAsia="仿宋_GB2312"/>
              </w:rPr>
              <w:t>12</w:t>
            </w:r>
          </w:p>
        </w:tc>
        <w:tc>
          <w:tcPr>
            <w:tcW w:w="469" w:type="pct"/>
            <w:tcBorders>
              <w:top w:val="nil"/>
              <w:left w:val="single" w:color="auto" w:sz="4" w:space="0"/>
              <w:bottom w:val="single" w:color="auto" w:sz="4" w:space="0"/>
              <w:right w:val="single" w:color="auto" w:sz="4" w:space="0"/>
            </w:tcBorders>
            <w:vAlign w:val="center"/>
          </w:tcPr>
          <w:p w14:paraId="532F8F3D">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69C62387">
            <w:pPr>
              <w:jc w:val="center"/>
              <w:rPr>
                <w:rFonts w:eastAsia="仿宋_GB2312"/>
              </w:rPr>
            </w:pPr>
            <w:r>
              <w:rPr>
                <w:rFonts w:eastAsia="仿宋_GB2312"/>
              </w:rPr>
              <w:t>水雉科</w:t>
            </w:r>
          </w:p>
        </w:tc>
        <w:tc>
          <w:tcPr>
            <w:tcW w:w="937" w:type="pct"/>
            <w:tcBorders>
              <w:top w:val="nil"/>
              <w:left w:val="nil"/>
              <w:bottom w:val="single" w:color="auto" w:sz="4" w:space="0"/>
              <w:right w:val="single" w:color="auto" w:sz="4" w:space="0"/>
            </w:tcBorders>
            <w:shd w:val="clear" w:color="auto" w:fill="auto"/>
            <w:noWrap/>
            <w:vAlign w:val="center"/>
          </w:tcPr>
          <w:p w14:paraId="1492552A">
            <w:pPr>
              <w:jc w:val="center"/>
              <w:rPr>
                <w:rFonts w:eastAsia="仿宋_GB2312"/>
              </w:rPr>
            </w:pPr>
            <w:r>
              <w:rPr>
                <w:rFonts w:eastAsia="仿宋_GB2312"/>
              </w:rPr>
              <w:t>水雉</w:t>
            </w:r>
          </w:p>
        </w:tc>
        <w:tc>
          <w:tcPr>
            <w:tcW w:w="1487" w:type="pct"/>
            <w:tcBorders>
              <w:top w:val="nil"/>
              <w:left w:val="nil"/>
              <w:bottom w:val="single" w:color="auto" w:sz="4" w:space="0"/>
              <w:right w:val="single" w:color="auto" w:sz="4" w:space="0"/>
            </w:tcBorders>
            <w:shd w:val="clear" w:color="auto" w:fill="auto"/>
            <w:noWrap/>
            <w:vAlign w:val="center"/>
          </w:tcPr>
          <w:p w14:paraId="5F3EC4AE">
            <w:pPr>
              <w:jc w:val="center"/>
              <w:rPr>
                <w:rFonts w:eastAsia="仿宋_GB2312"/>
                <w:i/>
                <w:iCs/>
              </w:rPr>
            </w:pPr>
            <w:r>
              <w:rPr>
                <w:rFonts w:eastAsia="仿宋_GB2312"/>
                <w:i/>
                <w:iCs/>
              </w:rPr>
              <w:t>Hydrophasianus chirurgus</w:t>
            </w:r>
          </w:p>
        </w:tc>
        <w:tc>
          <w:tcPr>
            <w:tcW w:w="498" w:type="pct"/>
            <w:tcBorders>
              <w:top w:val="nil"/>
              <w:left w:val="nil"/>
              <w:bottom w:val="single" w:color="auto" w:sz="4" w:space="0"/>
              <w:right w:val="single" w:color="auto" w:sz="4" w:space="0"/>
            </w:tcBorders>
            <w:shd w:val="clear" w:color="auto" w:fill="auto"/>
            <w:noWrap/>
            <w:vAlign w:val="center"/>
          </w:tcPr>
          <w:p w14:paraId="70ABB3E2">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2ABE0FF7">
            <w:pPr>
              <w:jc w:val="center"/>
              <w:rPr>
                <w:rFonts w:eastAsia="仿宋_GB2312"/>
              </w:rPr>
            </w:pPr>
            <w:r>
              <w:rPr>
                <w:rFonts w:eastAsia="仿宋_GB2312"/>
              </w:rPr>
              <w:t>NT</w:t>
            </w:r>
          </w:p>
        </w:tc>
      </w:tr>
      <w:tr w14:paraId="160773BC">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CD21900">
            <w:pPr>
              <w:jc w:val="center"/>
              <w:rPr>
                <w:rFonts w:eastAsia="仿宋_GB2312"/>
              </w:rPr>
            </w:pPr>
            <w:r>
              <w:rPr>
                <w:rFonts w:eastAsia="仿宋_GB2312"/>
              </w:rPr>
              <w:t>13</w:t>
            </w:r>
          </w:p>
        </w:tc>
        <w:tc>
          <w:tcPr>
            <w:tcW w:w="469" w:type="pct"/>
            <w:tcBorders>
              <w:top w:val="nil"/>
              <w:left w:val="single" w:color="auto" w:sz="4" w:space="0"/>
              <w:bottom w:val="single" w:color="auto" w:sz="4" w:space="0"/>
              <w:right w:val="single" w:color="auto" w:sz="4" w:space="0"/>
            </w:tcBorders>
            <w:vAlign w:val="center"/>
          </w:tcPr>
          <w:p w14:paraId="10F33C76">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178FBD10">
            <w:pPr>
              <w:jc w:val="center"/>
              <w:rPr>
                <w:rFonts w:eastAsia="仿宋_GB2312"/>
              </w:rPr>
            </w:pPr>
            <w:r>
              <w:rPr>
                <w:rFonts w:eastAsia="仿宋_GB2312"/>
              </w:rPr>
              <w:t>鹬科</w:t>
            </w:r>
          </w:p>
        </w:tc>
        <w:tc>
          <w:tcPr>
            <w:tcW w:w="937" w:type="pct"/>
            <w:tcBorders>
              <w:top w:val="nil"/>
              <w:left w:val="nil"/>
              <w:bottom w:val="single" w:color="auto" w:sz="4" w:space="0"/>
              <w:right w:val="single" w:color="auto" w:sz="4" w:space="0"/>
            </w:tcBorders>
            <w:shd w:val="clear" w:color="auto" w:fill="auto"/>
            <w:noWrap/>
            <w:vAlign w:val="center"/>
          </w:tcPr>
          <w:p w14:paraId="4EAFEAD2">
            <w:pPr>
              <w:jc w:val="center"/>
              <w:rPr>
                <w:rFonts w:eastAsia="仿宋_GB2312"/>
              </w:rPr>
            </w:pPr>
            <w:r>
              <w:rPr>
                <w:rFonts w:eastAsia="仿宋_GB2312"/>
              </w:rPr>
              <w:t>半蹼鹬</w:t>
            </w:r>
          </w:p>
        </w:tc>
        <w:tc>
          <w:tcPr>
            <w:tcW w:w="1487" w:type="pct"/>
            <w:tcBorders>
              <w:top w:val="nil"/>
              <w:left w:val="nil"/>
              <w:bottom w:val="single" w:color="auto" w:sz="4" w:space="0"/>
              <w:right w:val="single" w:color="auto" w:sz="4" w:space="0"/>
            </w:tcBorders>
            <w:shd w:val="clear" w:color="auto" w:fill="auto"/>
            <w:noWrap/>
            <w:vAlign w:val="center"/>
          </w:tcPr>
          <w:p w14:paraId="2FCAF5EB">
            <w:pPr>
              <w:jc w:val="center"/>
              <w:rPr>
                <w:rFonts w:eastAsia="仿宋_GB2312"/>
                <w:i/>
                <w:iCs/>
              </w:rPr>
            </w:pPr>
            <w:r>
              <w:rPr>
                <w:rFonts w:eastAsia="仿宋_GB2312"/>
                <w:i/>
                <w:iCs/>
              </w:rPr>
              <w:t>Limnodromus semipalmatus</w:t>
            </w:r>
          </w:p>
        </w:tc>
        <w:tc>
          <w:tcPr>
            <w:tcW w:w="498" w:type="pct"/>
            <w:tcBorders>
              <w:top w:val="nil"/>
              <w:left w:val="nil"/>
              <w:bottom w:val="single" w:color="auto" w:sz="4" w:space="0"/>
              <w:right w:val="single" w:color="auto" w:sz="4" w:space="0"/>
            </w:tcBorders>
            <w:shd w:val="clear" w:color="auto" w:fill="auto"/>
            <w:noWrap/>
            <w:vAlign w:val="center"/>
          </w:tcPr>
          <w:p w14:paraId="791BE1CC">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40DA9E09">
            <w:pPr>
              <w:jc w:val="center"/>
              <w:rPr>
                <w:rFonts w:eastAsia="仿宋_GB2312"/>
              </w:rPr>
            </w:pPr>
            <w:r>
              <w:rPr>
                <w:rFonts w:eastAsia="仿宋_GB2312"/>
              </w:rPr>
              <w:t>NT</w:t>
            </w:r>
          </w:p>
        </w:tc>
      </w:tr>
      <w:tr w14:paraId="0B42B4D6">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349B4500">
            <w:pPr>
              <w:jc w:val="center"/>
              <w:rPr>
                <w:rFonts w:eastAsia="仿宋_GB2312"/>
              </w:rPr>
            </w:pPr>
            <w:r>
              <w:rPr>
                <w:rFonts w:eastAsia="仿宋_GB2312"/>
              </w:rPr>
              <w:t>14</w:t>
            </w:r>
          </w:p>
        </w:tc>
        <w:tc>
          <w:tcPr>
            <w:tcW w:w="469" w:type="pct"/>
            <w:tcBorders>
              <w:top w:val="nil"/>
              <w:left w:val="single" w:color="auto" w:sz="4" w:space="0"/>
              <w:bottom w:val="single" w:color="auto" w:sz="4" w:space="0"/>
              <w:right w:val="single" w:color="auto" w:sz="4" w:space="0"/>
            </w:tcBorders>
            <w:vAlign w:val="center"/>
          </w:tcPr>
          <w:p w14:paraId="14A22FD2">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6EB92DF1">
            <w:pPr>
              <w:jc w:val="center"/>
              <w:rPr>
                <w:rFonts w:eastAsia="仿宋_GB2312"/>
              </w:rPr>
            </w:pPr>
            <w:r>
              <w:rPr>
                <w:rFonts w:eastAsia="仿宋_GB2312"/>
              </w:rPr>
              <w:t>鹬科</w:t>
            </w:r>
          </w:p>
        </w:tc>
        <w:tc>
          <w:tcPr>
            <w:tcW w:w="937" w:type="pct"/>
            <w:tcBorders>
              <w:top w:val="nil"/>
              <w:left w:val="nil"/>
              <w:bottom w:val="single" w:color="auto" w:sz="4" w:space="0"/>
              <w:right w:val="single" w:color="auto" w:sz="4" w:space="0"/>
            </w:tcBorders>
            <w:shd w:val="clear" w:color="auto" w:fill="auto"/>
            <w:noWrap/>
            <w:vAlign w:val="center"/>
          </w:tcPr>
          <w:p w14:paraId="21BD68A3">
            <w:pPr>
              <w:jc w:val="center"/>
              <w:rPr>
                <w:rFonts w:eastAsia="仿宋_GB2312"/>
              </w:rPr>
            </w:pPr>
            <w:r>
              <w:rPr>
                <w:rFonts w:eastAsia="仿宋_GB2312"/>
              </w:rPr>
              <w:t>小杓鹬</w:t>
            </w:r>
          </w:p>
        </w:tc>
        <w:tc>
          <w:tcPr>
            <w:tcW w:w="1487" w:type="pct"/>
            <w:tcBorders>
              <w:top w:val="nil"/>
              <w:left w:val="nil"/>
              <w:bottom w:val="single" w:color="auto" w:sz="4" w:space="0"/>
              <w:right w:val="single" w:color="auto" w:sz="4" w:space="0"/>
            </w:tcBorders>
            <w:shd w:val="clear" w:color="auto" w:fill="auto"/>
            <w:noWrap/>
            <w:vAlign w:val="center"/>
          </w:tcPr>
          <w:p w14:paraId="2267DDC4">
            <w:pPr>
              <w:jc w:val="center"/>
              <w:rPr>
                <w:rFonts w:eastAsia="仿宋_GB2312"/>
                <w:i/>
                <w:iCs/>
              </w:rPr>
            </w:pPr>
            <w:r>
              <w:rPr>
                <w:rFonts w:eastAsia="仿宋_GB2312"/>
                <w:i/>
                <w:iCs/>
              </w:rPr>
              <w:t>Numenius minutus</w:t>
            </w:r>
          </w:p>
        </w:tc>
        <w:tc>
          <w:tcPr>
            <w:tcW w:w="498" w:type="pct"/>
            <w:tcBorders>
              <w:top w:val="nil"/>
              <w:left w:val="nil"/>
              <w:bottom w:val="single" w:color="auto" w:sz="4" w:space="0"/>
              <w:right w:val="single" w:color="auto" w:sz="4" w:space="0"/>
            </w:tcBorders>
            <w:shd w:val="clear" w:color="auto" w:fill="auto"/>
            <w:noWrap/>
            <w:vAlign w:val="center"/>
          </w:tcPr>
          <w:p w14:paraId="5953FF58">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54AA1A9E">
            <w:pPr>
              <w:jc w:val="center"/>
              <w:rPr>
                <w:rFonts w:eastAsia="仿宋_GB2312"/>
              </w:rPr>
            </w:pPr>
            <w:r>
              <w:rPr>
                <w:rFonts w:eastAsia="仿宋_GB2312"/>
              </w:rPr>
              <w:t>NT</w:t>
            </w:r>
          </w:p>
        </w:tc>
      </w:tr>
      <w:tr w14:paraId="6E8D26D0">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0DF0E128">
            <w:pPr>
              <w:jc w:val="center"/>
              <w:rPr>
                <w:rFonts w:eastAsia="仿宋_GB2312"/>
              </w:rPr>
            </w:pPr>
            <w:r>
              <w:rPr>
                <w:rFonts w:eastAsia="仿宋_GB2312"/>
              </w:rPr>
              <w:t>15</w:t>
            </w:r>
          </w:p>
        </w:tc>
        <w:tc>
          <w:tcPr>
            <w:tcW w:w="469" w:type="pct"/>
            <w:tcBorders>
              <w:top w:val="nil"/>
              <w:left w:val="single" w:color="auto" w:sz="4" w:space="0"/>
              <w:bottom w:val="single" w:color="auto" w:sz="4" w:space="0"/>
              <w:right w:val="single" w:color="auto" w:sz="4" w:space="0"/>
            </w:tcBorders>
            <w:vAlign w:val="center"/>
          </w:tcPr>
          <w:p w14:paraId="68293B15">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7E743934">
            <w:pPr>
              <w:jc w:val="center"/>
              <w:rPr>
                <w:rFonts w:eastAsia="仿宋_GB2312"/>
              </w:rPr>
            </w:pPr>
            <w:r>
              <w:rPr>
                <w:rFonts w:eastAsia="仿宋_GB2312"/>
              </w:rPr>
              <w:t>鹬科</w:t>
            </w:r>
          </w:p>
        </w:tc>
        <w:tc>
          <w:tcPr>
            <w:tcW w:w="937" w:type="pct"/>
            <w:tcBorders>
              <w:top w:val="nil"/>
              <w:left w:val="nil"/>
              <w:bottom w:val="single" w:color="auto" w:sz="4" w:space="0"/>
              <w:right w:val="single" w:color="auto" w:sz="4" w:space="0"/>
            </w:tcBorders>
            <w:shd w:val="clear" w:color="auto" w:fill="auto"/>
            <w:noWrap/>
            <w:vAlign w:val="center"/>
          </w:tcPr>
          <w:p w14:paraId="5EA82BCE">
            <w:pPr>
              <w:jc w:val="center"/>
              <w:rPr>
                <w:rFonts w:eastAsia="仿宋_GB2312"/>
              </w:rPr>
            </w:pPr>
            <w:r>
              <w:rPr>
                <w:rFonts w:eastAsia="仿宋_GB2312"/>
              </w:rPr>
              <w:t>白腰杓鹬</w:t>
            </w:r>
          </w:p>
        </w:tc>
        <w:tc>
          <w:tcPr>
            <w:tcW w:w="1487" w:type="pct"/>
            <w:tcBorders>
              <w:top w:val="nil"/>
              <w:left w:val="nil"/>
              <w:bottom w:val="single" w:color="auto" w:sz="4" w:space="0"/>
              <w:right w:val="single" w:color="auto" w:sz="4" w:space="0"/>
            </w:tcBorders>
            <w:shd w:val="clear" w:color="auto" w:fill="auto"/>
            <w:noWrap/>
            <w:vAlign w:val="center"/>
          </w:tcPr>
          <w:p w14:paraId="7F6F630E">
            <w:pPr>
              <w:jc w:val="center"/>
              <w:rPr>
                <w:rFonts w:eastAsia="仿宋_GB2312"/>
                <w:i/>
                <w:iCs/>
              </w:rPr>
            </w:pPr>
            <w:r>
              <w:rPr>
                <w:rFonts w:eastAsia="仿宋_GB2312"/>
                <w:i/>
                <w:iCs/>
              </w:rPr>
              <w:t>Numenius arquata</w:t>
            </w:r>
          </w:p>
        </w:tc>
        <w:tc>
          <w:tcPr>
            <w:tcW w:w="498" w:type="pct"/>
            <w:tcBorders>
              <w:top w:val="nil"/>
              <w:left w:val="nil"/>
              <w:bottom w:val="single" w:color="auto" w:sz="4" w:space="0"/>
              <w:right w:val="single" w:color="auto" w:sz="4" w:space="0"/>
            </w:tcBorders>
            <w:shd w:val="clear" w:color="auto" w:fill="auto"/>
            <w:noWrap/>
            <w:vAlign w:val="center"/>
          </w:tcPr>
          <w:p w14:paraId="76D8D913">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52256B14">
            <w:pPr>
              <w:jc w:val="center"/>
              <w:rPr>
                <w:rFonts w:eastAsia="仿宋_GB2312"/>
              </w:rPr>
            </w:pPr>
            <w:r>
              <w:rPr>
                <w:rFonts w:eastAsia="仿宋_GB2312"/>
              </w:rPr>
              <w:t>NT</w:t>
            </w:r>
          </w:p>
        </w:tc>
      </w:tr>
      <w:tr w14:paraId="6EDC922D">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4CDAAE4D">
            <w:pPr>
              <w:jc w:val="center"/>
              <w:rPr>
                <w:rFonts w:eastAsia="仿宋_GB2312"/>
              </w:rPr>
            </w:pPr>
            <w:r>
              <w:rPr>
                <w:rFonts w:eastAsia="仿宋_GB2312"/>
              </w:rPr>
              <w:t>16</w:t>
            </w:r>
          </w:p>
        </w:tc>
        <w:tc>
          <w:tcPr>
            <w:tcW w:w="469" w:type="pct"/>
            <w:tcBorders>
              <w:top w:val="nil"/>
              <w:left w:val="single" w:color="auto" w:sz="4" w:space="0"/>
              <w:bottom w:val="single" w:color="auto" w:sz="4" w:space="0"/>
              <w:right w:val="single" w:color="auto" w:sz="4" w:space="0"/>
            </w:tcBorders>
            <w:vAlign w:val="center"/>
          </w:tcPr>
          <w:p w14:paraId="58D155C4">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44CC4905">
            <w:pPr>
              <w:jc w:val="center"/>
              <w:rPr>
                <w:rFonts w:eastAsia="仿宋_GB2312"/>
              </w:rPr>
            </w:pPr>
            <w:r>
              <w:rPr>
                <w:rFonts w:eastAsia="仿宋_GB2312"/>
              </w:rPr>
              <w:t>鹬科</w:t>
            </w:r>
          </w:p>
        </w:tc>
        <w:tc>
          <w:tcPr>
            <w:tcW w:w="937" w:type="pct"/>
            <w:tcBorders>
              <w:top w:val="nil"/>
              <w:left w:val="nil"/>
              <w:bottom w:val="single" w:color="auto" w:sz="4" w:space="0"/>
              <w:right w:val="single" w:color="auto" w:sz="4" w:space="0"/>
            </w:tcBorders>
            <w:shd w:val="clear" w:color="auto" w:fill="auto"/>
            <w:noWrap/>
            <w:vAlign w:val="center"/>
          </w:tcPr>
          <w:p w14:paraId="19FC8A4C">
            <w:pPr>
              <w:jc w:val="center"/>
              <w:rPr>
                <w:rFonts w:eastAsia="仿宋_GB2312"/>
              </w:rPr>
            </w:pPr>
            <w:r>
              <w:rPr>
                <w:rFonts w:eastAsia="仿宋_GB2312"/>
              </w:rPr>
              <w:t>大杓鹬</w:t>
            </w:r>
          </w:p>
        </w:tc>
        <w:tc>
          <w:tcPr>
            <w:tcW w:w="1487" w:type="pct"/>
            <w:tcBorders>
              <w:top w:val="nil"/>
              <w:left w:val="nil"/>
              <w:bottom w:val="single" w:color="auto" w:sz="4" w:space="0"/>
              <w:right w:val="single" w:color="auto" w:sz="4" w:space="0"/>
            </w:tcBorders>
            <w:shd w:val="clear" w:color="auto" w:fill="auto"/>
            <w:noWrap/>
            <w:vAlign w:val="center"/>
          </w:tcPr>
          <w:p w14:paraId="47284D8E">
            <w:pPr>
              <w:jc w:val="center"/>
              <w:rPr>
                <w:rFonts w:eastAsia="仿宋_GB2312"/>
                <w:i/>
                <w:iCs/>
              </w:rPr>
            </w:pPr>
            <w:r>
              <w:rPr>
                <w:rFonts w:eastAsia="仿宋_GB2312"/>
                <w:i/>
                <w:iCs/>
              </w:rPr>
              <w:t>Numenius madagascariensis</w:t>
            </w:r>
          </w:p>
        </w:tc>
        <w:tc>
          <w:tcPr>
            <w:tcW w:w="498" w:type="pct"/>
            <w:tcBorders>
              <w:top w:val="nil"/>
              <w:left w:val="nil"/>
              <w:bottom w:val="single" w:color="auto" w:sz="4" w:space="0"/>
              <w:right w:val="single" w:color="auto" w:sz="4" w:space="0"/>
            </w:tcBorders>
            <w:shd w:val="clear" w:color="auto" w:fill="auto"/>
            <w:noWrap/>
            <w:vAlign w:val="center"/>
          </w:tcPr>
          <w:p w14:paraId="3FAA9317">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23B9AFDA">
            <w:pPr>
              <w:jc w:val="center"/>
              <w:rPr>
                <w:rFonts w:eastAsia="仿宋_GB2312"/>
              </w:rPr>
            </w:pPr>
            <w:r>
              <w:rPr>
                <w:rFonts w:eastAsia="仿宋_GB2312"/>
              </w:rPr>
              <w:t>VU</w:t>
            </w:r>
          </w:p>
        </w:tc>
      </w:tr>
      <w:tr w14:paraId="560A2B73">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655BE424">
            <w:pPr>
              <w:jc w:val="center"/>
              <w:rPr>
                <w:rFonts w:eastAsia="仿宋_GB2312"/>
              </w:rPr>
            </w:pPr>
            <w:r>
              <w:rPr>
                <w:rFonts w:eastAsia="仿宋_GB2312"/>
              </w:rPr>
              <w:t>17</w:t>
            </w:r>
          </w:p>
        </w:tc>
        <w:tc>
          <w:tcPr>
            <w:tcW w:w="469" w:type="pct"/>
            <w:tcBorders>
              <w:top w:val="nil"/>
              <w:left w:val="single" w:color="auto" w:sz="4" w:space="0"/>
              <w:bottom w:val="single" w:color="auto" w:sz="4" w:space="0"/>
              <w:right w:val="single" w:color="auto" w:sz="4" w:space="0"/>
            </w:tcBorders>
            <w:vAlign w:val="center"/>
          </w:tcPr>
          <w:p w14:paraId="140FC94C">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0111FA32">
            <w:pPr>
              <w:jc w:val="center"/>
              <w:rPr>
                <w:rFonts w:eastAsia="仿宋_GB2312"/>
              </w:rPr>
            </w:pPr>
            <w:r>
              <w:rPr>
                <w:rFonts w:eastAsia="仿宋_GB2312"/>
              </w:rPr>
              <w:t>鹬科</w:t>
            </w:r>
          </w:p>
        </w:tc>
        <w:tc>
          <w:tcPr>
            <w:tcW w:w="937" w:type="pct"/>
            <w:tcBorders>
              <w:top w:val="nil"/>
              <w:left w:val="nil"/>
              <w:bottom w:val="single" w:color="auto" w:sz="4" w:space="0"/>
              <w:right w:val="single" w:color="auto" w:sz="4" w:space="0"/>
            </w:tcBorders>
            <w:shd w:val="clear" w:color="auto" w:fill="auto"/>
            <w:noWrap/>
            <w:vAlign w:val="center"/>
          </w:tcPr>
          <w:p w14:paraId="06DAC78E">
            <w:pPr>
              <w:jc w:val="center"/>
              <w:rPr>
                <w:rFonts w:eastAsia="仿宋_GB2312"/>
              </w:rPr>
            </w:pPr>
            <w:r>
              <w:rPr>
                <w:rFonts w:eastAsia="仿宋_GB2312"/>
              </w:rPr>
              <w:t>翻石鹬</w:t>
            </w:r>
          </w:p>
        </w:tc>
        <w:tc>
          <w:tcPr>
            <w:tcW w:w="1487" w:type="pct"/>
            <w:tcBorders>
              <w:top w:val="nil"/>
              <w:left w:val="nil"/>
              <w:bottom w:val="single" w:color="auto" w:sz="4" w:space="0"/>
              <w:right w:val="single" w:color="auto" w:sz="4" w:space="0"/>
            </w:tcBorders>
            <w:shd w:val="clear" w:color="auto" w:fill="auto"/>
            <w:noWrap/>
            <w:vAlign w:val="center"/>
          </w:tcPr>
          <w:p w14:paraId="4A0A3387">
            <w:pPr>
              <w:jc w:val="center"/>
              <w:rPr>
                <w:rFonts w:eastAsia="仿宋_GB2312"/>
                <w:i/>
                <w:iCs/>
              </w:rPr>
            </w:pPr>
            <w:r>
              <w:rPr>
                <w:rFonts w:eastAsia="仿宋_GB2312"/>
                <w:i/>
                <w:iCs/>
              </w:rPr>
              <w:t>Arenaria interpres</w:t>
            </w:r>
          </w:p>
        </w:tc>
        <w:tc>
          <w:tcPr>
            <w:tcW w:w="498" w:type="pct"/>
            <w:tcBorders>
              <w:top w:val="nil"/>
              <w:left w:val="nil"/>
              <w:bottom w:val="single" w:color="auto" w:sz="4" w:space="0"/>
              <w:right w:val="single" w:color="auto" w:sz="4" w:space="0"/>
            </w:tcBorders>
            <w:shd w:val="clear" w:color="auto" w:fill="auto"/>
            <w:noWrap/>
            <w:vAlign w:val="center"/>
          </w:tcPr>
          <w:p w14:paraId="791C7EC0">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5B4A62E0">
            <w:pPr>
              <w:jc w:val="center"/>
              <w:rPr>
                <w:rFonts w:eastAsia="仿宋_GB2312"/>
              </w:rPr>
            </w:pPr>
            <w:r>
              <w:rPr>
                <w:rFonts w:eastAsia="仿宋_GB2312"/>
              </w:rPr>
              <w:t>LC</w:t>
            </w:r>
          </w:p>
        </w:tc>
      </w:tr>
      <w:tr w14:paraId="795211AA">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84D8C7D">
            <w:pPr>
              <w:jc w:val="center"/>
              <w:rPr>
                <w:rFonts w:eastAsia="仿宋_GB2312"/>
              </w:rPr>
            </w:pPr>
            <w:r>
              <w:rPr>
                <w:rFonts w:eastAsia="仿宋_GB2312"/>
              </w:rPr>
              <w:t>18</w:t>
            </w:r>
          </w:p>
        </w:tc>
        <w:tc>
          <w:tcPr>
            <w:tcW w:w="469" w:type="pct"/>
            <w:tcBorders>
              <w:top w:val="nil"/>
              <w:left w:val="single" w:color="auto" w:sz="4" w:space="0"/>
              <w:bottom w:val="single" w:color="auto" w:sz="4" w:space="0"/>
              <w:right w:val="single" w:color="auto" w:sz="4" w:space="0"/>
            </w:tcBorders>
            <w:vAlign w:val="center"/>
          </w:tcPr>
          <w:p w14:paraId="291251A1">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4977AFC9">
            <w:pPr>
              <w:jc w:val="center"/>
              <w:rPr>
                <w:rFonts w:eastAsia="仿宋_GB2312"/>
              </w:rPr>
            </w:pPr>
            <w:r>
              <w:rPr>
                <w:rFonts w:eastAsia="仿宋_GB2312"/>
              </w:rPr>
              <w:t>鹬科</w:t>
            </w:r>
          </w:p>
        </w:tc>
        <w:tc>
          <w:tcPr>
            <w:tcW w:w="937" w:type="pct"/>
            <w:tcBorders>
              <w:top w:val="nil"/>
              <w:left w:val="nil"/>
              <w:bottom w:val="single" w:color="auto" w:sz="4" w:space="0"/>
              <w:right w:val="single" w:color="auto" w:sz="4" w:space="0"/>
            </w:tcBorders>
            <w:shd w:val="clear" w:color="auto" w:fill="auto"/>
            <w:noWrap/>
            <w:vAlign w:val="center"/>
          </w:tcPr>
          <w:p w14:paraId="3B0840BC">
            <w:pPr>
              <w:jc w:val="center"/>
              <w:rPr>
                <w:rFonts w:eastAsia="仿宋_GB2312"/>
              </w:rPr>
            </w:pPr>
            <w:r>
              <w:rPr>
                <w:rFonts w:eastAsia="仿宋_GB2312"/>
              </w:rPr>
              <w:t>大滨鹬</w:t>
            </w:r>
          </w:p>
        </w:tc>
        <w:tc>
          <w:tcPr>
            <w:tcW w:w="1487" w:type="pct"/>
            <w:tcBorders>
              <w:top w:val="nil"/>
              <w:left w:val="nil"/>
              <w:bottom w:val="single" w:color="auto" w:sz="4" w:space="0"/>
              <w:right w:val="single" w:color="auto" w:sz="4" w:space="0"/>
            </w:tcBorders>
            <w:shd w:val="clear" w:color="auto" w:fill="auto"/>
            <w:noWrap/>
            <w:vAlign w:val="center"/>
          </w:tcPr>
          <w:p w14:paraId="72E38560">
            <w:pPr>
              <w:jc w:val="center"/>
              <w:rPr>
                <w:rFonts w:eastAsia="仿宋_GB2312"/>
                <w:i/>
                <w:iCs/>
              </w:rPr>
            </w:pPr>
            <w:r>
              <w:rPr>
                <w:rFonts w:eastAsia="仿宋_GB2312"/>
                <w:i/>
                <w:iCs/>
              </w:rPr>
              <w:t>Calidris tenuirostris</w:t>
            </w:r>
          </w:p>
        </w:tc>
        <w:tc>
          <w:tcPr>
            <w:tcW w:w="498" w:type="pct"/>
            <w:tcBorders>
              <w:top w:val="nil"/>
              <w:left w:val="nil"/>
              <w:bottom w:val="single" w:color="auto" w:sz="4" w:space="0"/>
              <w:right w:val="single" w:color="auto" w:sz="4" w:space="0"/>
            </w:tcBorders>
            <w:shd w:val="clear" w:color="auto" w:fill="auto"/>
            <w:noWrap/>
            <w:vAlign w:val="center"/>
          </w:tcPr>
          <w:p w14:paraId="0AEF14CD">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240498E8">
            <w:pPr>
              <w:jc w:val="center"/>
              <w:rPr>
                <w:rFonts w:eastAsia="仿宋_GB2312"/>
              </w:rPr>
            </w:pPr>
            <w:r>
              <w:rPr>
                <w:rFonts w:eastAsia="仿宋_GB2312"/>
              </w:rPr>
              <w:t>VU</w:t>
            </w:r>
          </w:p>
        </w:tc>
      </w:tr>
      <w:tr w14:paraId="082FEB6B">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68F1991">
            <w:pPr>
              <w:jc w:val="center"/>
              <w:rPr>
                <w:rFonts w:eastAsia="仿宋_GB2312"/>
              </w:rPr>
            </w:pPr>
            <w:r>
              <w:rPr>
                <w:rFonts w:eastAsia="仿宋_GB2312"/>
              </w:rPr>
              <w:t>19</w:t>
            </w:r>
          </w:p>
        </w:tc>
        <w:tc>
          <w:tcPr>
            <w:tcW w:w="469" w:type="pct"/>
            <w:tcBorders>
              <w:top w:val="nil"/>
              <w:left w:val="single" w:color="auto" w:sz="4" w:space="0"/>
              <w:bottom w:val="single" w:color="auto" w:sz="4" w:space="0"/>
              <w:right w:val="single" w:color="auto" w:sz="4" w:space="0"/>
            </w:tcBorders>
            <w:vAlign w:val="center"/>
          </w:tcPr>
          <w:p w14:paraId="692030A6">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0F7EE833">
            <w:pPr>
              <w:jc w:val="center"/>
              <w:rPr>
                <w:rFonts w:eastAsia="仿宋_GB2312"/>
              </w:rPr>
            </w:pPr>
            <w:r>
              <w:rPr>
                <w:rFonts w:eastAsia="仿宋_GB2312"/>
              </w:rPr>
              <w:t>鹮科</w:t>
            </w:r>
          </w:p>
        </w:tc>
        <w:tc>
          <w:tcPr>
            <w:tcW w:w="937" w:type="pct"/>
            <w:tcBorders>
              <w:top w:val="nil"/>
              <w:left w:val="nil"/>
              <w:bottom w:val="single" w:color="auto" w:sz="4" w:space="0"/>
              <w:right w:val="single" w:color="auto" w:sz="4" w:space="0"/>
            </w:tcBorders>
            <w:shd w:val="clear" w:color="auto" w:fill="auto"/>
            <w:noWrap/>
            <w:vAlign w:val="center"/>
          </w:tcPr>
          <w:p w14:paraId="14D942CE">
            <w:pPr>
              <w:jc w:val="center"/>
              <w:rPr>
                <w:rFonts w:eastAsia="仿宋_GB2312"/>
              </w:rPr>
            </w:pPr>
            <w:r>
              <w:rPr>
                <w:rFonts w:eastAsia="仿宋_GB2312"/>
              </w:rPr>
              <w:t>白琵鹭</w:t>
            </w:r>
          </w:p>
        </w:tc>
        <w:tc>
          <w:tcPr>
            <w:tcW w:w="1487" w:type="pct"/>
            <w:tcBorders>
              <w:top w:val="nil"/>
              <w:left w:val="nil"/>
              <w:bottom w:val="single" w:color="auto" w:sz="4" w:space="0"/>
              <w:right w:val="single" w:color="auto" w:sz="4" w:space="0"/>
            </w:tcBorders>
            <w:shd w:val="clear" w:color="auto" w:fill="auto"/>
            <w:noWrap/>
            <w:vAlign w:val="center"/>
          </w:tcPr>
          <w:p w14:paraId="5A65A450">
            <w:pPr>
              <w:jc w:val="center"/>
              <w:rPr>
                <w:rFonts w:eastAsia="仿宋_GB2312"/>
                <w:i/>
                <w:iCs/>
              </w:rPr>
            </w:pPr>
            <w:r>
              <w:rPr>
                <w:rFonts w:eastAsia="仿宋_GB2312"/>
                <w:i/>
                <w:iCs/>
              </w:rPr>
              <w:t>Platalea leucorodia</w:t>
            </w:r>
          </w:p>
        </w:tc>
        <w:tc>
          <w:tcPr>
            <w:tcW w:w="498" w:type="pct"/>
            <w:tcBorders>
              <w:top w:val="nil"/>
              <w:left w:val="nil"/>
              <w:bottom w:val="single" w:color="auto" w:sz="4" w:space="0"/>
              <w:right w:val="single" w:color="auto" w:sz="4" w:space="0"/>
            </w:tcBorders>
            <w:shd w:val="clear" w:color="auto" w:fill="auto"/>
            <w:noWrap/>
            <w:vAlign w:val="center"/>
          </w:tcPr>
          <w:p w14:paraId="4B8607BF">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2F52A54C">
            <w:pPr>
              <w:jc w:val="center"/>
              <w:rPr>
                <w:rFonts w:eastAsia="仿宋_GB2312"/>
              </w:rPr>
            </w:pPr>
            <w:r>
              <w:rPr>
                <w:rFonts w:eastAsia="仿宋_GB2312"/>
              </w:rPr>
              <w:t>NT</w:t>
            </w:r>
          </w:p>
        </w:tc>
      </w:tr>
      <w:tr w14:paraId="5047AF60">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E62523C">
            <w:pPr>
              <w:jc w:val="center"/>
              <w:rPr>
                <w:rFonts w:eastAsia="仿宋_GB2312"/>
              </w:rPr>
            </w:pPr>
            <w:r>
              <w:rPr>
                <w:rFonts w:eastAsia="仿宋_GB2312"/>
              </w:rPr>
              <w:t>20</w:t>
            </w:r>
          </w:p>
        </w:tc>
        <w:tc>
          <w:tcPr>
            <w:tcW w:w="469" w:type="pct"/>
            <w:tcBorders>
              <w:top w:val="nil"/>
              <w:left w:val="single" w:color="auto" w:sz="4" w:space="0"/>
              <w:bottom w:val="single" w:color="auto" w:sz="4" w:space="0"/>
              <w:right w:val="single" w:color="auto" w:sz="4" w:space="0"/>
            </w:tcBorders>
            <w:vAlign w:val="center"/>
          </w:tcPr>
          <w:p w14:paraId="639030DF">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6D178516">
            <w:pPr>
              <w:jc w:val="center"/>
              <w:rPr>
                <w:rFonts w:eastAsia="仿宋_GB2312"/>
              </w:rPr>
            </w:pPr>
            <w:r>
              <w:rPr>
                <w:rFonts w:eastAsia="仿宋_GB2312"/>
              </w:rPr>
              <w:t>鹗科</w:t>
            </w:r>
          </w:p>
        </w:tc>
        <w:tc>
          <w:tcPr>
            <w:tcW w:w="937" w:type="pct"/>
            <w:tcBorders>
              <w:top w:val="nil"/>
              <w:left w:val="nil"/>
              <w:bottom w:val="single" w:color="auto" w:sz="4" w:space="0"/>
              <w:right w:val="single" w:color="auto" w:sz="4" w:space="0"/>
            </w:tcBorders>
            <w:shd w:val="clear" w:color="auto" w:fill="auto"/>
            <w:noWrap/>
            <w:vAlign w:val="center"/>
          </w:tcPr>
          <w:p w14:paraId="6EA85F3D">
            <w:pPr>
              <w:jc w:val="center"/>
              <w:rPr>
                <w:rFonts w:eastAsia="仿宋_GB2312"/>
              </w:rPr>
            </w:pPr>
            <w:r>
              <w:rPr>
                <w:rFonts w:eastAsia="仿宋_GB2312"/>
              </w:rPr>
              <w:t>鹗</w:t>
            </w:r>
          </w:p>
        </w:tc>
        <w:tc>
          <w:tcPr>
            <w:tcW w:w="1487" w:type="pct"/>
            <w:tcBorders>
              <w:top w:val="nil"/>
              <w:left w:val="nil"/>
              <w:bottom w:val="single" w:color="auto" w:sz="4" w:space="0"/>
              <w:right w:val="single" w:color="auto" w:sz="4" w:space="0"/>
            </w:tcBorders>
            <w:shd w:val="clear" w:color="auto" w:fill="auto"/>
            <w:noWrap/>
            <w:vAlign w:val="center"/>
          </w:tcPr>
          <w:p w14:paraId="76D14208">
            <w:pPr>
              <w:jc w:val="center"/>
              <w:rPr>
                <w:rFonts w:eastAsia="仿宋_GB2312"/>
                <w:i/>
                <w:iCs/>
              </w:rPr>
            </w:pPr>
            <w:r>
              <w:rPr>
                <w:rFonts w:eastAsia="仿宋_GB2312"/>
                <w:i/>
                <w:iCs/>
              </w:rPr>
              <w:t>Pandion haliaetus</w:t>
            </w:r>
          </w:p>
        </w:tc>
        <w:tc>
          <w:tcPr>
            <w:tcW w:w="498" w:type="pct"/>
            <w:tcBorders>
              <w:top w:val="nil"/>
              <w:left w:val="nil"/>
              <w:bottom w:val="single" w:color="auto" w:sz="4" w:space="0"/>
              <w:right w:val="single" w:color="auto" w:sz="4" w:space="0"/>
            </w:tcBorders>
            <w:shd w:val="clear" w:color="auto" w:fill="auto"/>
            <w:noWrap/>
            <w:vAlign w:val="center"/>
          </w:tcPr>
          <w:p w14:paraId="4F40F8E3">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543313D4">
            <w:pPr>
              <w:jc w:val="center"/>
              <w:rPr>
                <w:rFonts w:eastAsia="仿宋_GB2312"/>
              </w:rPr>
            </w:pPr>
            <w:r>
              <w:rPr>
                <w:rFonts w:eastAsia="仿宋_GB2312"/>
              </w:rPr>
              <w:t>NT</w:t>
            </w:r>
          </w:p>
        </w:tc>
      </w:tr>
      <w:tr w14:paraId="3F4F291C">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1F16F4BC">
            <w:pPr>
              <w:jc w:val="center"/>
              <w:rPr>
                <w:rFonts w:eastAsia="仿宋_GB2312"/>
              </w:rPr>
            </w:pPr>
            <w:r>
              <w:rPr>
                <w:rFonts w:eastAsia="仿宋_GB2312"/>
              </w:rPr>
              <w:t>21</w:t>
            </w:r>
          </w:p>
        </w:tc>
        <w:tc>
          <w:tcPr>
            <w:tcW w:w="469" w:type="pct"/>
            <w:tcBorders>
              <w:top w:val="nil"/>
              <w:left w:val="single" w:color="auto" w:sz="4" w:space="0"/>
              <w:bottom w:val="single" w:color="auto" w:sz="4" w:space="0"/>
              <w:right w:val="single" w:color="auto" w:sz="4" w:space="0"/>
            </w:tcBorders>
            <w:vAlign w:val="center"/>
          </w:tcPr>
          <w:p w14:paraId="41BA6980">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4867C3D5">
            <w:pPr>
              <w:jc w:val="center"/>
              <w:rPr>
                <w:rFonts w:eastAsia="仿宋_GB2312"/>
              </w:rPr>
            </w:pPr>
            <w:r>
              <w:rPr>
                <w:rFonts w:eastAsia="仿宋_GB2312"/>
              </w:rPr>
              <w:t>鹰科</w:t>
            </w:r>
          </w:p>
        </w:tc>
        <w:tc>
          <w:tcPr>
            <w:tcW w:w="937" w:type="pct"/>
            <w:tcBorders>
              <w:top w:val="nil"/>
              <w:left w:val="nil"/>
              <w:bottom w:val="single" w:color="auto" w:sz="4" w:space="0"/>
              <w:right w:val="single" w:color="auto" w:sz="4" w:space="0"/>
            </w:tcBorders>
            <w:shd w:val="clear" w:color="auto" w:fill="auto"/>
            <w:noWrap/>
            <w:vAlign w:val="center"/>
          </w:tcPr>
          <w:p w14:paraId="2C8830B3">
            <w:pPr>
              <w:jc w:val="center"/>
              <w:rPr>
                <w:rFonts w:eastAsia="仿宋_GB2312"/>
              </w:rPr>
            </w:pPr>
            <w:r>
              <w:rPr>
                <w:rFonts w:eastAsia="仿宋_GB2312"/>
              </w:rPr>
              <w:t>黑翅鸢</w:t>
            </w:r>
          </w:p>
        </w:tc>
        <w:tc>
          <w:tcPr>
            <w:tcW w:w="1487" w:type="pct"/>
            <w:tcBorders>
              <w:top w:val="nil"/>
              <w:left w:val="nil"/>
              <w:bottom w:val="single" w:color="auto" w:sz="4" w:space="0"/>
              <w:right w:val="single" w:color="auto" w:sz="4" w:space="0"/>
            </w:tcBorders>
            <w:shd w:val="clear" w:color="auto" w:fill="auto"/>
            <w:noWrap/>
            <w:vAlign w:val="center"/>
          </w:tcPr>
          <w:p w14:paraId="1806492A">
            <w:pPr>
              <w:jc w:val="center"/>
              <w:rPr>
                <w:rFonts w:eastAsia="仿宋_GB2312"/>
                <w:i/>
                <w:iCs/>
              </w:rPr>
            </w:pPr>
            <w:r>
              <w:rPr>
                <w:rFonts w:eastAsia="仿宋_GB2312"/>
                <w:i/>
                <w:iCs/>
              </w:rPr>
              <w:t>Elanus caeruleus</w:t>
            </w:r>
          </w:p>
        </w:tc>
        <w:tc>
          <w:tcPr>
            <w:tcW w:w="498" w:type="pct"/>
            <w:tcBorders>
              <w:top w:val="nil"/>
              <w:left w:val="nil"/>
              <w:bottom w:val="single" w:color="auto" w:sz="4" w:space="0"/>
              <w:right w:val="single" w:color="auto" w:sz="4" w:space="0"/>
            </w:tcBorders>
            <w:shd w:val="clear" w:color="auto" w:fill="auto"/>
            <w:noWrap/>
            <w:vAlign w:val="center"/>
          </w:tcPr>
          <w:p w14:paraId="34C35C0C">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582915BD">
            <w:pPr>
              <w:jc w:val="center"/>
              <w:rPr>
                <w:rFonts w:eastAsia="仿宋_GB2312"/>
              </w:rPr>
            </w:pPr>
            <w:r>
              <w:rPr>
                <w:rFonts w:eastAsia="仿宋_GB2312"/>
              </w:rPr>
              <w:t>NT</w:t>
            </w:r>
          </w:p>
        </w:tc>
      </w:tr>
      <w:tr w14:paraId="28F25C3D">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1FF2BFFB">
            <w:pPr>
              <w:jc w:val="center"/>
              <w:rPr>
                <w:rFonts w:eastAsia="仿宋_GB2312"/>
              </w:rPr>
            </w:pPr>
            <w:r>
              <w:rPr>
                <w:rFonts w:eastAsia="仿宋_GB2312"/>
              </w:rPr>
              <w:t>22</w:t>
            </w:r>
          </w:p>
        </w:tc>
        <w:tc>
          <w:tcPr>
            <w:tcW w:w="469" w:type="pct"/>
            <w:tcBorders>
              <w:top w:val="nil"/>
              <w:left w:val="single" w:color="auto" w:sz="4" w:space="0"/>
              <w:bottom w:val="single" w:color="auto" w:sz="4" w:space="0"/>
              <w:right w:val="single" w:color="auto" w:sz="4" w:space="0"/>
            </w:tcBorders>
            <w:vAlign w:val="center"/>
          </w:tcPr>
          <w:p w14:paraId="340BF29A">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4ED9653A">
            <w:pPr>
              <w:jc w:val="center"/>
              <w:rPr>
                <w:rFonts w:eastAsia="仿宋_GB2312"/>
              </w:rPr>
            </w:pPr>
            <w:r>
              <w:rPr>
                <w:rFonts w:eastAsia="仿宋_GB2312"/>
              </w:rPr>
              <w:t>鹰科</w:t>
            </w:r>
          </w:p>
        </w:tc>
        <w:tc>
          <w:tcPr>
            <w:tcW w:w="937" w:type="pct"/>
            <w:tcBorders>
              <w:top w:val="nil"/>
              <w:left w:val="nil"/>
              <w:bottom w:val="single" w:color="auto" w:sz="4" w:space="0"/>
              <w:right w:val="single" w:color="auto" w:sz="4" w:space="0"/>
            </w:tcBorders>
            <w:shd w:val="clear" w:color="auto" w:fill="auto"/>
            <w:noWrap/>
            <w:vAlign w:val="center"/>
          </w:tcPr>
          <w:p w14:paraId="0DFA10B1">
            <w:pPr>
              <w:jc w:val="center"/>
              <w:rPr>
                <w:rFonts w:eastAsia="仿宋_GB2312"/>
              </w:rPr>
            </w:pPr>
            <w:r>
              <w:rPr>
                <w:rFonts w:eastAsia="仿宋_GB2312"/>
              </w:rPr>
              <w:t>凤头鹰</w:t>
            </w:r>
          </w:p>
        </w:tc>
        <w:tc>
          <w:tcPr>
            <w:tcW w:w="1487" w:type="pct"/>
            <w:tcBorders>
              <w:top w:val="nil"/>
              <w:left w:val="nil"/>
              <w:bottom w:val="single" w:color="auto" w:sz="4" w:space="0"/>
              <w:right w:val="single" w:color="auto" w:sz="4" w:space="0"/>
            </w:tcBorders>
            <w:shd w:val="clear" w:color="auto" w:fill="auto"/>
            <w:noWrap/>
            <w:vAlign w:val="center"/>
          </w:tcPr>
          <w:p w14:paraId="61EB7D56">
            <w:pPr>
              <w:jc w:val="center"/>
              <w:rPr>
                <w:rFonts w:eastAsia="仿宋_GB2312"/>
                <w:i/>
                <w:iCs/>
              </w:rPr>
            </w:pPr>
            <w:r>
              <w:rPr>
                <w:rFonts w:eastAsia="仿宋_GB2312"/>
                <w:i/>
                <w:iCs/>
              </w:rPr>
              <w:t>Accipiter trivirgatus</w:t>
            </w:r>
          </w:p>
        </w:tc>
        <w:tc>
          <w:tcPr>
            <w:tcW w:w="498" w:type="pct"/>
            <w:tcBorders>
              <w:top w:val="nil"/>
              <w:left w:val="nil"/>
              <w:bottom w:val="single" w:color="auto" w:sz="4" w:space="0"/>
              <w:right w:val="single" w:color="auto" w:sz="4" w:space="0"/>
            </w:tcBorders>
            <w:shd w:val="clear" w:color="auto" w:fill="auto"/>
            <w:noWrap/>
            <w:vAlign w:val="center"/>
          </w:tcPr>
          <w:p w14:paraId="0ABC336C">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273500DC">
            <w:pPr>
              <w:jc w:val="center"/>
              <w:rPr>
                <w:rFonts w:eastAsia="仿宋_GB2312"/>
              </w:rPr>
            </w:pPr>
            <w:r>
              <w:rPr>
                <w:rFonts w:eastAsia="仿宋_GB2312"/>
              </w:rPr>
              <w:t>NT</w:t>
            </w:r>
          </w:p>
        </w:tc>
      </w:tr>
      <w:tr w14:paraId="276B2B21">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2BA0F07E">
            <w:pPr>
              <w:jc w:val="center"/>
              <w:rPr>
                <w:rFonts w:eastAsia="仿宋_GB2312"/>
              </w:rPr>
            </w:pPr>
            <w:r>
              <w:rPr>
                <w:rFonts w:eastAsia="仿宋_GB2312"/>
              </w:rPr>
              <w:t>23</w:t>
            </w:r>
          </w:p>
        </w:tc>
        <w:tc>
          <w:tcPr>
            <w:tcW w:w="469" w:type="pct"/>
            <w:tcBorders>
              <w:top w:val="nil"/>
              <w:left w:val="single" w:color="auto" w:sz="4" w:space="0"/>
              <w:bottom w:val="single" w:color="auto" w:sz="4" w:space="0"/>
              <w:right w:val="single" w:color="auto" w:sz="4" w:space="0"/>
            </w:tcBorders>
            <w:vAlign w:val="center"/>
          </w:tcPr>
          <w:p w14:paraId="3F40C049">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56C82B41">
            <w:pPr>
              <w:jc w:val="center"/>
              <w:rPr>
                <w:rFonts w:eastAsia="仿宋_GB2312"/>
              </w:rPr>
            </w:pPr>
            <w:r>
              <w:rPr>
                <w:rFonts w:eastAsia="仿宋_GB2312"/>
              </w:rPr>
              <w:t>鹰科</w:t>
            </w:r>
          </w:p>
        </w:tc>
        <w:tc>
          <w:tcPr>
            <w:tcW w:w="937" w:type="pct"/>
            <w:tcBorders>
              <w:top w:val="nil"/>
              <w:left w:val="nil"/>
              <w:bottom w:val="single" w:color="auto" w:sz="4" w:space="0"/>
              <w:right w:val="single" w:color="auto" w:sz="4" w:space="0"/>
            </w:tcBorders>
            <w:shd w:val="clear" w:color="auto" w:fill="auto"/>
            <w:noWrap/>
            <w:vAlign w:val="center"/>
          </w:tcPr>
          <w:p w14:paraId="47663A28">
            <w:pPr>
              <w:jc w:val="center"/>
              <w:rPr>
                <w:rFonts w:eastAsia="仿宋_GB2312"/>
              </w:rPr>
            </w:pPr>
            <w:r>
              <w:rPr>
                <w:rFonts w:eastAsia="仿宋_GB2312"/>
              </w:rPr>
              <w:t>赤腹鹰</w:t>
            </w:r>
          </w:p>
        </w:tc>
        <w:tc>
          <w:tcPr>
            <w:tcW w:w="1487" w:type="pct"/>
            <w:tcBorders>
              <w:top w:val="nil"/>
              <w:left w:val="nil"/>
              <w:bottom w:val="single" w:color="auto" w:sz="4" w:space="0"/>
              <w:right w:val="single" w:color="auto" w:sz="4" w:space="0"/>
            </w:tcBorders>
            <w:shd w:val="clear" w:color="auto" w:fill="auto"/>
            <w:noWrap/>
            <w:vAlign w:val="center"/>
          </w:tcPr>
          <w:p w14:paraId="1EC9A61A">
            <w:pPr>
              <w:jc w:val="center"/>
              <w:rPr>
                <w:rFonts w:eastAsia="仿宋_GB2312"/>
                <w:i/>
                <w:iCs/>
              </w:rPr>
            </w:pPr>
            <w:r>
              <w:rPr>
                <w:rFonts w:eastAsia="仿宋_GB2312"/>
                <w:i/>
                <w:iCs/>
              </w:rPr>
              <w:t>Accipiter soloensis</w:t>
            </w:r>
          </w:p>
        </w:tc>
        <w:tc>
          <w:tcPr>
            <w:tcW w:w="498" w:type="pct"/>
            <w:tcBorders>
              <w:top w:val="nil"/>
              <w:left w:val="nil"/>
              <w:bottom w:val="single" w:color="auto" w:sz="4" w:space="0"/>
              <w:right w:val="single" w:color="auto" w:sz="4" w:space="0"/>
            </w:tcBorders>
            <w:shd w:val="clear" w:color="auto" w:fill="auto"/>
            <w:noWrap/>
            <w:vAlign w:val="center"/>
          </w:tcPr>
          <w:p w14:paraId="3E8E1567">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1D60CDCC">
            <w:pPr>
              <w:jc w:val="center"/>
              <w:rPr>
                <w:rFonts w:eastAsia="仿宋_GB2312"/>
              </w:rPr>
            </w:pPr>
            <w:r>
              <w:rPr>
                <w:rFonts w:eastAsia="仿宋_GB2312"/>
              </w:rPr>
              <w:t>LC</w:t>
            </w:r>
          </w:p>
        </w:tc>
      </w:tr>
      <w:tr w14:paraId="14CFB6BF">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03585FE8">
            <w:pPr>
              <w:jc w:val="center"/>
              <w:rPr>
                <w:rFonts w:eastAsia="仿宋_GB2312"/>
              </w:rPr>
            </w:pPr>
            <w:r>
              <w:rPr>
                <w:rFonts w:eastAsia="仿宋_GB2312"/>
              </w:rPr>
              <w:t>24</w:t>
            </w:r>
          </w:p>
        </w:tc>
        <w:tc>
          <w:tcPr>
            <w:tcW w:w="469" w:type="pct"/>
            <w:tcBorders>
              <w:top w:val="nil"/>
              <w:left w:val="single" w:color="auto" w:sz="4" w:space="0"/>
              <w:bottom w:val="single" w:color="auto" w:sz="4" w:space="0"/>
              <w:right w:val="single" w:color="auto" w:sz="4" w:space="0"/>
            </w:tcBorders>
            <w:vAlign w:val="center"/>
          </w:tcPr>
          <w:p w14:paraId="3C8C7324">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19AD0BA0">
            <w:pPr>
              <w:jc w:val="center"/>
              <w:rPr>
                <w:rFonts w:eastAsia="仿宋_GB2312"/>
              </w:rPr>
            </w:pPr>
            <w:r>
              <w:rPr>
                <w:rFonts w:eastAsia="仿宋_GB2312"/>
              </w:rPr>
              <w:t>鹰科</w:t>
            </w:r>
          </w:p>
        </w:tc>
        <w:tc>
          <w:tcPr>
            <w:tcW w:w="937" w:type="pct"/>
            <w:tcBorders>
              <w:top w:val="nil"/>
              <w:left w:val="nil"/>
              <w:bottom w:val="single" w:color="auto" w:sz="4" w:space="0"/>
              <w:right w:val="single" w:color="auto" w:sz="4" w:space="0"/>
            </w:tcBorders>
            <w:shd w:val="clear" w:color="auto" w:fill="auto"/>
            <w:noWrap/>
            <w:vAlign w:val="center"/>
          </w:tcPr>
          <w:p w14:paraId="5E634CA6">
            <w:pPr>
              <w:jc w:val="center"/>
              <w:rPr>
                <w:rFonts w:eastAsia="仿宋_GB2312"/>
              </w:rPr>
            </w:pPr>
            <w:r>
              <w:rPr>
                <w:rFonts w:eastAsia="仿宋_GB2312"/>
              </w:rPr>
              <w:t>雀鹰</w:t>
            </w:r>
          </w:p>
        </w:tc>
        <w:tc>
          <w:tcPr>
            <w:tcW w:w="1487" w:type="pct"/>
            <w:tcBorders>
              <w:top w:val="nil"/>
              <w:left w:val="nil"/>
              <w:bottom w:val="single" w:color="auto" w:sz="4" w:space="0"/>
              <w:right w:val="single" w:color="auto" w:sz="4" w:space="0"/>
            </w:tcBorders>
            <w:shd w:val="clear" w:color="auto" w:fill="auto"/>
            <w:noWrap/>
            <w:vAlign w:val="center"/>
          </w:tcPr>
          <w:p w14:paraId="2388D373">
            <w:pPr>
              <w:jc w:val="center"/>
              <w:rPr>
                <w:rFonts w:eastAsia="仿宋_GB2312"/>
                <w:i/>
                <w:iCs/>
              </w:rPr>
            </w:pPr>
            <w:r>
              <w:rPr>
                <w:rFonts w:eastAsia="仿宋_GB2312"/>
                <w:i/>
                <w:iCs/>
              </w:rPr>
              <w:t>Accipiter nisus</w:t>
            </w:r>
          </w:p>
        </w:tc>
        <w:tc>
          <w:tcPr>
            <w:tcW w:w="498" w:type="pct"/>
            <w:tcBorders>
              <w:top w:val="nil"/>
              <w:left w:val="nil"/>
              <w:bottom w:val="single" w:color="auto" w:sz="4" w:space="0"/>
              <w:right w:val="single" w:color="auto" w:sz="4" w:space="0"/>
            </w:tcBorders>
            <w:shd w:val="clear" w:color="auto" w:fill="auto"/>
            <w:noWrap/>
            <w:vAlign w:val="center"/>
          </w:tcPr>
          <w:p w14:paraId="74FFB404">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1BD4C91D">
            <w:pPr>
              <w:jc w:val="center"/>
              <w:rPr>
                <w:rFonts w:eastAsia="仿宋_GB2312"/>
              </w:rPr>
            </w:pPr>
            <w:r>
              <w:rPr>
                <w:rFonts w:eastAsia="仿宋_GB2312"/>
              </w:rPr>
              <w:t>LC</w:t>
            </w:r>
          </w:p>
        </w:tc>
      </w:tr>
      <w:tr w14:paraId="482749DB">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66AE1690">
            <w:pPr>
              <w:jc w:val="center"/>
              <w:rPr>
                <w:rFonts w:eastAsia="仿宋_GB2312"/>
              </w:rPr>
            </w:pPr>
            <w:r>
              <w:rPr>
                <w:rFonts w:eastAsia="仿宋_GB2312"/>
              </w:rPr>
              <w:t>25</w:t>
            </w:r>
          </w:p>
        </w:tc>
        <w:tc>
          <w:tcPr>
            <w:tcW w:w="469" w:type="pct"/>
            <w:tcBorders>
              <w:top w:val="nil"/>
              <w:left w:val="single" w:color="auto" w:sz="4" w:space="0"/>
              <w:bottom w:val="single" w:color="auto" w:sz="4" w:space="0"/>
              <w:right w:val="single" w:color="auto" w:sz="4" w:space="0"/>
            </w:tcBorders>
            <w:vAlign w:val="center"/>
          </w:tcPr>
          <w:p w14:paraId="39CE37B6">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1CEFDBB1">
            <w:pPr>
              <w:jc w:val="center"/>
              <w:rPr>
                <w:rFonts w:eastAsia="仿宋_GB2312"/>
              </w:rPr>
            </w:pPr>
            <w:r>
              <w:rPr>
                <w:rFonts w:eastAsia="仿宋_GB2312"/>
              </w:rPr>
              <w:t>鹰科</w:t>
            </w:r>
          </w:p>
        </w:tc>
        <w:tc>
          <w:tcPr>
            <w:tcW w:w="937" w:type="pct"/>
            <w:tcBorders>
              <w:top w:val="nil"/>
              <w:left w:val="nil"/>
              <w:bottom w:val="single" w:color="auto" w:sz="4" w:space="0"/>
              <w:right w:val="single" w:color="auto" w:sz="4" w:space="0"/>
            </w:tcBorders>
            <w:shd w:val="clear" w:color="auto" w:fill="auto"/>
            <w:noWrap/>
            <w:vAlign w:val="center"/>
          </w:tcPr>
          <w:p w14:paraId="7BE0E88A">
            <w:pPr>
              <w:jc w:val="center"/>
              <w:rPr>
                <w:rFonts w:eastAsia="仿宋_GB2312"/>
              </w:rPr>
            </w:pPr>
            <w:r>
              <w:rPr>
                <w:rFonts w:eastAsia="仿宋_GB2312"/>
              </w:rPr>
              <w:t>苍鹰</w:t>
            </w:r>
          </w:p>
        </w:tc>
        <w:tc>
          <w:tcPr>
            <w:tcW w:w="1487" w:type="pct"/>
            <w:tcBorders>
              <w:top w:val="nil"/>
              <w:left w:val="nil"/>
              <w:bottom w:val="single" w:color="auto" w:sz="4" w:space="0"/>
              <w:right w:val="single" w:color="auto" w:sz="4" w:space="0"/>
            </w:tcBorders>
            <w:shd w:val="clear" w:color="auto" w:fill="auto"/>
            <w:noWrap/>
            <w:vAlign w:val="center"/>
          </w:tcPr>
          <w:p w14:paraId="5217DC12">
            <w:pPr>
              <w:jc w:val="center"/>
              <w:rPr>
                <w:rFonts w:eastAsia="仿宋_GB2312"/>
                <w:i/>
                <w:iCs/>
              </w:rPr>
            </w:pPr>
            <w:r>
              <w:rPr>
                <w:rFonts w:eastAsia="仿宋_GB2312"/>
                <w:i/>
                <w:iCs/>
              </w:rPr>
              <w:t>Accipiter gentilis</w:t>
            </w:r>
          </w:p>
        </w:tc>
        <w:tc>
          <w:tcPr>
            <w:tcW w:w="498" w:type="pct"/>
            <w:tcBorders>
              <w:top w:val="nil"/>
              <w:left w:val="nil"/>
              <w:bottom w:val="single" w:color="auto" w:sz="4" w:space="0"/>
              <w:right w:val="single" w:color="auto" w:sz="4" w:space="0"/>
            </w:tcBorders>
            <w:shd w:val="clear" w:color="auto" w:fill="auto"/>
            <w:noWrap/>
            <w:vAlign w:val="center"/>
          </w:tcPr>
          <w:p w14:paraId="32994643">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01D61A7A">
            <w:pPr>
              <w:jc w:val="center"/>
              <w:rPr>
                <w:rFonts w:eastAsia="仿宋_GB2312"/>
              </w:rPr>
            </w:pPr>
            <w:r>
              <w:rPr>
                <w:rFonts w:eastAsia="仿宋_GB2312"/>
              </w:rPr>
              <w:t>NT</w:t>
            </w:r>
          </w:p>
        </w:tc>
      </w:tr>
      <w:tr w14:paraId="6E6C0EE1">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23BFD3F2">
            <w:pPr>
              <w:jc w:val="center"/>
              <w:rPr>
                <w:rFonts w:eastAsia="仿宋_GB2312"/>
              </w:rPr>
            </w:pPr>
            <w:r>
              <w:rPr>
                <w:rFonts w:eastAsia="仿宋_GB2312"/>
              </w:rPr>
              <w:t>26</w:t>
            </w:r>
          </w:p>
        </w:tc>
        <w:tc>
          <w:tcPr>
            <w:tcW w:w="469" w:type="pct"/>
            <w:tcBorders>
              <w:top w:val="nil"/>
              <w:left w:val="single" w:color="auto" w:sz="4" w:space="0"/>
              <w:bottom w:val="single" w:color="auto" w:sz="4" w:space="0"/>
              <w:right w:val="single" w:color="auto" w:sz="4" w:space="0"/>
            </w:tcBorders>
            <w:vAlign w:val="center"/>
          </w:tcPr>
          <w:p w14:paraId="5BDCEB00">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0EA82BA6">
            <w:pPr>
              <w:jc w:val="center"/>
              <w:rPr>
                <w:rFonts w:eastAsia="仿宋_GB2312"/>
              </w:rPr>
            </w:pPr>
            <w:r>
              <w:rPr>
                <w:rFonts w:eastAsia="仿宋_GB2312"/>
              </w:rPr>
              <w:t>鹰科</w:t>
            </w:r>
          </w:p>
        </w:tc>
        <w:tc>
          <w:tcPr>
            <w:tcW w:w="937" w:type="pct"/>
            <w:tcBorders>
              <w:top w:val="nil"/>
              <w:left w:val="nil"/>
              <w:bottom w:val="single" w:color="auto" w:sz="4" w:space="0"/>
              <w:right w:val="single" w:color="auto" w:sz="4" w:space="0"/>
            </w:tcBorders>
            <w:shd w:val="clear" w:color="auto" w:fill="auto"/>
            <w:noWrap/>
            <w:vAlign w:val="center"/>
          </w:tcPr>
          <w:p w14:paraId="2449F824">
            <w:pPr>
              <w:jc w:val="center"/>
              <w:rPr>
                <w:rFonts w:eastAsia="仿宋_GB2312"/>
              </w:rPr>
            </w:pPr>
            <w:r>
              <w:rPr>
                <w:rFonts w:eastAsia="仿宋_GB2312"/>
              </w:rPr>
              <w:t>白腹鹞</w:t>
            </w:r>
          </w:p>
        </w:tc>
        <w:tc>
          <w:tcPr>
            <w:tcW w:w="1487" w:type="pct"/>
            <w:tcBorders>
              <w:top w:val="nil"/>
              <w:left w:val="nil"/>
              <w:bottom w:val="single" w:color="auto" w:sz="4" w:space="0"/>
              <w:right w:val="single" w:color="auto" w:sz="4" w:space="0"/>
            </w:tcBorders>
            <w:shd w:val="clear" w:color="auto" w:fill="auto"/>
            <w:noWrap/>
            <w:vAlign w:val="center"/>
          </w:tcPr>
          <w:p w14:paraId="7959C141">
            <w:pPr>
              <w:jc w:val="center"/>
              <w:rPr>
                <w:rFonts w:eastAsia="仿宋_GB2312"/>
                <w:i/>
                <w:iCs/>
              </w:rPr>
            </w:pPr>
            <w:r>
              <w:rPr>
                <w:rFonts w:eastAsia="仿宋_GB2312"/>
                <w:i/>
                <w:iCs/>
              </w:rPr>
              <w:t>Circus spilonotus</w:t>
            </w:r>
          </w:p>
        </w:tc>
        <w:tc>
          <w:tcPr>
            <w:tcW w:w="498" w:type="pct"/>
            <w:tcBorders>
              <w:top w:val="nil"/>
              <w:left w:val="nil"/>
              <w:bottom w:val="single" w:color="auto" w:sz="4" w:space="0"/>
              <w:right w:val="single" w:color="auto" w:sz="4" w:space="0"/>
            </w:tcBorders>
            <w:shd w:val="clear" w:color="auto" w:fill="auto"/>
            <w:noWrap/>
            <w:vAlign w:val="center"/>
          </w:tcPr>
          <w:p w14:paraId="25142044">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1E2A42CB">
            <w:pPr>
              <w:jc w:val="center"/>
              <w:rPr>
                <w:rFonts w:eastAsia="仿宋_GB2312"/>
              </w:rPr>
            </w:pPr>
            <w:r>
              <w:rPr>
                <w:rFonts w:eastAsia="仿宋_GB2312"/>
              </w:rPr>
              <w:t>NT</w:t>
            </w:r>
          </w:p>
        </w:tc>
      </w:tr>
      <w:tr w14:paraId="02D344C0">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1A57C7FC">
            <w:pPr>
              <w:jc w:val="center"/>
              <w:rPr>
                <w:rFonts w:eastAsia="仿宋_GB2312"/>
              </w:rPr>
            </w:pPr>
            <w:r>
              <w:rPr>
                <w:rFonts w:eastAsia="仿宋_GB2312"/>
              </w:rPr>
              <w:t>27</w:t>
            </w:r>
          </w:p>
        </w:tc>
        <w:tc>
          <w:tcPr>
            <w:tcW w:w="469" w:type="pct"/>
            <w:tcBorders>
              <w:top w:val="nil"/>
              <w:left w:val="single" w:color="auto" w:sz="4" w:space="0"/>
              <w:bottom w:val="single" w:color="auto" w:sz="4" w:space="0"/>
              <w:right w:val="single" w:color="auto" w:sz="4" w:space="0"/>
            </w:tcBorders>
            <w:vAlign w:val="center"/>
          </w:tcPr>
          <w:p w14:paraId="7A193959">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4E83B291">
            <w:pPr>
              <w:jc w:val="center"/>
              <w:rPr>
                <w:rFonts w:eastAsia="仿宋_GB2312"/>
              </w:rPr>
            </w:pPr>
            <w:r>
              <w:rPr>
                <w:rFonts w:eastAsia="仿宋_GB2312"/>
              </w:rPr>
              <w:t>鹰科</w:t>
            </w:r>
          </w:p>
        </w:tc>
        <w:tc>
          <w:tcPr>
            <w:tcW w:w="937" w:type="pct"/>
            <w:tcBorders>
              <w:top w:val="nil"/>
              <w:left w:val="nil"/>
              <w:bottom w:val="single" w:color="auto" w:sz="4" w:space="0"/>
              <w:right w:val="single" w:color="auto" w:sz="4" w:space="0"/>
            </w:tcBorders>
            <w:shd w:val="clear" w:color="auto" w:fill="auto"/>
            <w:noWrap/>
            <w:vAlign w:val="center"/>
          </w:tcPr>
          <w:p w14:paraId="58637531">
            <w:pPr>
              <w:jc w:val="center"/>
              <w:rPr>
                <w:rFonts w:eastAsia="仿宋_GB2312"/>
              </w:rPr>
            </w:pPr>
            <w:r>
              <w:rPr>
                <w:rFonts w:eastAsia="仿宋_GB2312"/>
              </w:rPr>
              <w:t>白尾鹞</w:t>
            </w:r>
          </w:p>
        </w:tc>
        <w:tc>
          <w:tcPr>
            <w:tcW w:w="1487" w:type="pct"/>
            <w:tcBorders>
              <w:top w:val="nil"/>
              <w:left w:val="nil"/>
              <w:bottom w:val="single" w:color="auto" w:sz="4" w:space="0"/>
              <w:right w:val="single" w:color="auto" w:sz="4" w:space="0"/>
            </w:tcBorders>
            <w:shd w:val="clear" w:color="auto" w:fill="auto"/>
            <w:noWrap/>
            <w:vAlign w:val="center"/>
          </w:tcPr>
          <w:p w14:paraId="6AEAA527">
            <w:pPr>
              <w:jc w:val="center"/>
              <w:rPr>
                <w:rFonts w:eastAsia="仿宋_GB2312"/>
                <w:i/>
                <w:iCs/>
              </w:rPr>
            </w:pPr>
            <w:r>
              <w:rPr>
                <w:rFonts w:eastAsia="仿宋_GB2312"/>
                <w:i/>
                <w:iCs/>
              </w:rPr>
              <w:t>Circus cyaneus</w:t>
            </w:r>
          </w:p>
        </w:tc>
        <w:tc>
          <w:tcPr>
            <w:tcW w:w="498" w:type="pct"/>
            <w:tcBorders>
              <w:top w:val="nil"/>
              <w:left w:val="nil"/>
              <w:bottom w:val="single" w:color="auto" w:sz="4" w:space="0"/>
              <w:right w:val="single" w:color="auto" w:sz="4" w:space="0"/>
            </w:tcBorders>
            <w:shd w:val="clear" w:color="auto" w:fill="auto"/>
            <w:noWrap/>
            <w:vAlign w:val="center"/>
          </w:tcPr>
          <w:p w14:paraId="443010A6">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70063976">
            <w:pPr>
              <w:jc w:val="center"/>
              <w:rPr>
                <w:rFonts w:eastAsia="仿宋_GB2312"/>
              </w:rPr>
            </w:pPr>
            <w:r>
              <w:rPr>
                <w:rFonts w:eastAsia="仿宋_GB2312"/>
              </w:rPr>
              <w:t>NT</w:t>
            </w:r>
          </w:p>
        </w:tc>
      </w:tr>
      <w:tr w14:paraId="2511208C">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7B805898">
            <w:pPr>
              <w:jc w:val="center"/>
              <w:rPr>
                <w:rFonts w:eastAsia="仿宋_GB2312"/>
              </w:rPr>
            </w:pPr>
            <w:r>
              <w:rPr>
                <w:rFonts w:eastAsia="仿宋_GB2312"/>
              </w:rPr>
              <w:t>28</w:t>
            </w:r>
          </w:p>
        </w:tc>
        <w:tc>
          <w:tcPr>
            <w:tcW w:w="469" w:type="pct"/>
            <w:tcBorders>
              <w:top w:val="nil"/>
              <w:left w:val="single" w:color="auto" w:sz="4" w:space="0"/>
              <w:bottom w:val="single" w:color="auto" w:sz="4" w:space="0"/>
              <w:right w:val="single" w:color="auto" w:sz="4" w:space="0"/>
            </w:tcBorders>
            <w:vAlign w:val="center"/>
          </w:tcPr>
          <w:p w14:paraId="5B9B0082">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2A6BF5DE">
            <w:pPr>
              <w:jc w:val="center"/>
              <w:rPr>
                <w:rFonts w:eastAsia="仿宋_GB2312"/>
              </w:rPr>
            </w:pPr>
            <w:r>
              <w:rPr>
                <w:rFonts w:eastAsia="仿宋_GB2312"/>
              </w:rPr>
              <w:t>鹰科</w:t>
            </w:r>
          </w:p>
        </w:tc>
        <w:tc>
          <w:tcPr>
            <w:tcW w:w="937" w:type="pct"/>
            <w:tcBorders>
              <w:top w:val="nil"/>
              <w:left w:val="nil"/>
              <w:bottom w:val="single" w:color="auto" w:sz="4" w:space="0"/>
              <w:right w:val="single" w:color="auto" w:sz="4" w:space="0"/>
            </w:tcBorders>
            <w:shd w:val="clear" w:color="auto" w:fill="auto"/>
            <w:noWrap/>
            <w:vAlign w:val="center"/>
          </w:tcPr>
          <w:p w14:paraId="7E289EA4">
            <w:pPr>
              <w:jc w:val="center"/>
              <w:rPr>
                <w:rFonts w:eastAsia="仿宋_GB2312"/>
              </w:rPr>
            </w:pPr>
            <w:r>
              <w:rPr>
                <w:rFonts w:eastAsia="仿宋_GB2312"/>
              </w:rPr>
              <w:t>鹊鹞</w:t>
            </w:r>
          </w:p>
        </w:tc>
        <w:tc>
          <w:tcPr>
            <w:tcW w:w="1487" w:type="pct"/>
            <w:tcBorders>
              <w:top w:val="nil"/>
              <w:left w:val="nil"/>
              <w:bottom w:val="single" w:color="auto" w:sz="4" w:space="0"/>
              <w:right w:val="single" w:color="auto" w:sz="4" w:space="0"/>
            </w:tcBorders>
            <w:shd w:val="clear" w:color="auto" w:fill="auto"/>
            <w:noWrap/>
            <w:vAlign w:val="center"/>
          </w:tcPr>
          <w:p w14:paraId="4A6DCA7D">
            <w:pPr>
              <w:jc w:val="center"/>
              <w:rPr>
                <w:rFonts w:eastAsia="仿宋_GB2312"/>
                <w:i/>
                <w:iCs/>
              </w:rPr>
            </w:pPr>
            <w:r>
              <w:rPr>
                <w:rFonts w:eastAsia="仿宋_GB2312"/>
                <w:i/>
                <w:iCs/>
              </w:rPr>
              <w:t>Circus melanoleucos</w:t>
            </w:r>
          </w:p>
        </w:tc>
        <w:tc>
          <w:tcPr>
            <w:tcW w:w="498" w:type="pct"/>
            <w:tcBorders>
              <w:top w:val="nil"/>
              <w:left w:val="nil"/>
              <w:bottom w:val="single" w:color="auto" w:sz="4" w:space="0"/>
              <w:right w:val="single" w:color="auto" w:sz="4" w:space="0"/>
            </w:tcBorders>
            <w:shd w:val="clear" w:color="auto" w:fill="auto"/>
            <w:noWrap/>
            <w:vAlign w:val="center"/>
          </w:tcPr>
          <w:p w14:paraId="1BD42EDA">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39122447">
            <w:pPr>
              <w:jc w:val="center"/>
              <w:rPr>
                <w:rFonts w:eastAsia="仿宋_GB2312"/>
              </w:rPr>
            </w:pPr>
            <w:r>
              <w:rPr>
                <w:rFonts w:eastAsia="仿宋_GB2312"/>
              </w:rPr>
              <w:t>NT</w:t>
            </w:r>
          </w:p>
        </w:tc>
      </w:tr>
      <w:tr w14:paraId="627709E4">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68BCFCAC">
            <w:pPr>
              <w:jc w:val="center"/>
              <w:rPr>
                <w:rFonts w:eastAsia="仿宋_GB2312"/>
              </w:rPr>
            </w:pPr>
            <w:r>
              <w:rPr>
                <w:rFonts w:eastAsia="仿宋_GB2312"/>
              </w:rPr>
              <w:t>29</w:t>
            </w:r>
          </w:p>
        </w:tc>
        <w:tc>
          <w:tcPr>
            <w:tcW w:w="469" w:type="pct"/>
            <w:tcBorders>
              <w:top w:val="nil"/>
              <w:left w:val="single" w:color="auto" w:sz="4" w:space="0"/>
              <w:bottom w:val="single" w:color="auto" w:sz="4" w:space="0"/>
              <w:right w:val="single" w:color="auto" w:sz="4" w:space="0"/>
            </w:tcBorders>
            <w:vAlign w:val="center"/>
          </w:tcPr>
          <w:p w14:paraId="75E4FF32">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7E69772E">
            <w:pPr>
              <w:jc w:val="center"/>
              <w:rPr>
                <w:rFonts w:eastAsia="仿宋_GB2312"/>
              </w:rPr>
            </w:pPr>
            <w:r>
              <w:rPr>
                <w:rFonts w:eastAsia="仿宋_GB2312"/>
              </w:rPr>
              <w:t>鹰科</w:t>
            </w:r>
          </w:p>
        </w:tc>
        <w:tc>
          <w:tcPr>
            <w:tcW w:w="937" w:type="pct"/>
            <w:tcBorders>
              <w:top w:val="nil"/>
              <w:left w:val="nil"/>
              <w:bottom w:val="single" w:color="auto" w:sz="4" w:space="0"/>
              <w:right w:val="single" w:color="auto" w:sz="4" w:space="0"/>
            </w:tcBorders>
            <w:shd w:val="clear" w:color="auto" w:fill="auto"/>
            <w:noWrap/>
            <w:vAlign w:val="center"/>
          </w:tcPr>
          <w:p w14:paraId="11060AA2">
            <w:pPr>
              <w:jc w:val="center"/>
              <w:rPr>
                <w:rFonts w:eastAsia="仿宋_GB2312"/>
              </w:rPr>
            </w:pPr>
            <w:r>
              <w:rPr>
                <w:rFonts w:eastAsia="仿宋_GB2312"/>
              </w:rPr>
              <w:t>黑鸢</w:t>
            </w:r>
          </w:p>
        </w:tc>
        <w:tc>
          <w:tcPr>
            <w:tcW w:w="1487" w:type="pct"/>
            <w:tcBorders>
              <w:top w:val="nil"/>
              <w:left w:val="nil"/>
              <w:bottom w:val="single" w:color="auto" w:sz="4" w:space="0"/>
              <w:right w:val="single" w:color="auto" w:sz="4" w:space="0"/>
            </w:tcBorders>
            <w:shd w:val="clear" w:color="auto" w:fill="auto"/>
            <w:noWrap/>
            <w:vAlign w:val="center"/>
          </w:tcPr>
          <w:p w14:paraId="071931F5">
            <w:pPr>
              <w:jc w:val="center"/>
              <w:rPr>
                <w:rFonts w:eastAsia="仿宋_GB2312"/>
                <w:i/>
                <w:iCs/>
              </w:rPr>
            </w:pPr>
            <w:r>
              <w:rPr>
                <w:rFonts w:eastAsia="仿宋_GB2312"/>
                <w:i/>
                <w:iCs/>
              </w:rPr>
              <w:t>Milvus migrans</w:t>
            </w:r>
          </w:p>
        </w:tc>
        <w:tc>
          <w:tcPr>
            <w:tcW w:w="498" w:type="pct"/>
            <w:tcBorders>
              <w:top w:val="nil"/>
              <w:left w:val="nil"/>
              <w:bottom w:val="single" w:color="auto" w:sz="4" w:space="0"/>
              <w:right w:val="single" w:color="auto" w:sz="4" w:space="0"/>
            </w:tcBorders>
            <w:shd w:val="clear" w:color="auto" w:fill="auto"/>
            <w:noWrap/>
            <w:vAlign w:val="center"/>
          </w:tcPr>
          <w:p w14:paraId="2DF3E5F6">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08A86460">
            <w:pPr>
              <w:jc w:val="center"/>
              <w:rPr>
                <w:rFonts w:eastAsia="仿宋_GB2312"/>
              </w:rPr>
            </w:pPr>
            <w:r>
              <w:rPr>
                <w:rFonts w:eastAsia="仿宋_GB2312"/>
              </w:rPr>
              <w:t>LC</w:t>
            </w:r>
          </w:p>
        </w:tc>
      </w:tr>
      <w:tr w14:paraId="1AF96CD7">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980E210">
            <w:pPr>
              <w:jc w:val="center"/>
              <w:rPr>
                <w:rFonts w:eastAsia="仿宋_GB2312"/>
              </w:rPr>
            </w:pPr>
            <w:r>
              <w:rPr>
                <w:rFonts w:eastAsia="仿宋_GB2312"/>
              </w:rPr>
              <w:t>30</w:t>
            </w:r>
          </w:p>
        </w:tc>
        <w:tc>
          <w:tcPr>
            <w:tcW w:w="469" w:type="pct"/>
            <w:tcBorders>
              <w:top w:val="nil"/>
              <w:left w:val="single" w:color="auto" w:sz="4" w:space="0"/>
              <w:bottom w:val="single" w:color="auto" w:sz="4" w:space="0"/>
              <w:right w:val="single" w:color="auto" w:sz="4" w:space="0"/>
            </w:tcBorders>
            <w:vAlign w:val="center"/>
          </w:tcPr>
          <w:p w14:paraId="32D1CF45">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1938739F">
            <w:pPr>
              <w:jc w:val="center"/>
              <w:rPr>
                <w:rFonts w:eastAsia="仿宋_GB2312"/>
              </w:rPr>
            </w:pPr>
            <w:r>
              <w:rPr>
                <w:rFonts w:eastAsia="仿宋_GB2312"/>
              </w:rPr>
              <w:t>鹰科</w:t>
            </w:r>
          </w:p>
        </w:tc>
        <w:tc>
          <w:tcPr>
            <w:tcW w:w="937" w:type="pct"/>
            <w:tcBorders>
              <w:top w:val="nil"/>
              <w:left w:val="nil"/>
              <w:bottom w:val="single" w:color="auto" w:sz="4" w:space="0"/>
              <w:right w:val="single" w:color="auto" w:sz="4" w:space="0"/>
            </w:tcBorders>
            <w:shd w:val="clear" w:color="auto" w:fill="auto"/>
            <w:noWrap/>
            <w:vAlign w:val="center"/>
          </w:tcPr>
          <w:p w14:paraId="5362174B">
            <w:pPr>
              <w:jc w:val="center"/>
              <w:rPr>
                <w:rFonts w:eastAsia="仿宋_GB2312"/>
              </w:rPr>
            </w:pPr>
            <w:r>
              <w:rPr>
                <w:rFonts w:eastAsia="仿宋_GB2312"/>
              </w:rPr>
              <w:t>普通鵟</w:t>
            </w:r>
          </w:p>
        </w:tc>
        <w:tc>
          <w:tcPr>
            <w:tcW w:w="1487" w:type="pct"/>
            <w:tcBorders>
              <w:top w:val="nil"/>
              <w:left w:val="nil"/>
              <w:bottom w:val="single" w:color="auto" w:sz="4" w:space="0"/>
              <w:right w:val="single" w:color="auto" w:sz="4" w:space="0"/>
            </w:tcBorders>
            <w:shd w:val="clear" w:color="auto" w:fill="auto"/>
            <w:noWrap/>
            <w:vAlign w:val="center"/>
          </w:tcPr>
          <w:p w14:paraId="1B506CE9">
            <w:pPr>
              <w:jc w:val="center"/>
              <w:rPr>
                <w:rFonts w:eastAsia="仿宋_GB2312"/>
                <w:i/>
                <w:iCs/>
              </w:rPr>
            </w:pPr>
            <w:r>
              <w:rPr>
                <w:rFonts w:eastAsia="仿宋_GB2312"/>
                <w:i/>
                <w:iCs/>
              </w:rPr>
              <w:t>Buteo japonicus</w:t>
            </w:r>
          </w:p>
        </w:tc>
        <w:tc>
          <w:tcPr>
            <w:tcW w:w="498" w:type="pct"/>
            <w:tcBorders>
              <w:top w:val="nil"/>
              <w:left w:val="nil"/>
              <w:bottom w:val="single" w:color="auto" w:sz="4" w:space="0"/>
              <w:right w:val="single" w:color="auto" w:sz="4" w:space="0"/>
            </w:tcBorders>
            <w:shd w:val="clear" w:color="auto" w:fill="auto"/>
            <w:noWrap/>
            <w:vAlign w:val="center"/>
          </w:tcPr>
          <w:p w14:paraId="15B3F37F">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5683F195">
            <w:pPr>
              <w:jc w:val="center"/>
              <w:rPr>
                <w:rFonts w:eastAsia="仿宋_GB2312"/>
              </w:rPr>
            </w:pPr>
            <w:r>
              <w:rPr>
                <w:rFonts w:eastAsia="仿宋_GB2312"/>
              </w:rPr>
              <w:t>LC</w:t>
            </w:r>
          </w:p>
        </w:tc>
      </w:tr>
      <w:tr w14:paraId="399BFA64">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606CEF5">
            <w:pPr>
              <w:jc w:val="center"/>
              <w:rPr>
                <w:rFonts w:eastAsia="仿宋_GB2312"/>
              </w:rPr>
            </w:pPr>
            <w:r>
              <w:rPr>
                <w:rFonts w:eastAsia="仿宋_GB2312"/>
              </w:rPr>
              <w:t>31</w:t>
            </w:r>
          </w:p>
        </w:tc>
        <w:tc>
          <w:tcPr>
            <w:tcW w:w="469" w:type="pct"/>
            <w:tcBorders>
              <w:top w:val="nil"/>
              <w:left w:val="single" w:color="auto" w:sz="4" w:space="0"/>
              <w:bottom w:val="single" w:color="auto" w:sz="4" w:space="0"/>
              <w:right w:val="single" w:color="auto" w:sz="4" w:space="0"/>
            </w:tcBorders>
            <w:vAlign w:val="center"/>
          </w:tcPr>
          <w:p w14:paraId="4EDAFDD9">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7CA58651">
            <w:pPr>
              <w:jc w:val="center"/>
              <w:rPr>
                <w:rFonts w:eastAsia="仿宋_GB2312"/>
              </w:rPr>
            </w:pPr>
            <w:r>
              <w:rPr>
                <w:rFonts w:eastAsia="仿宋_GB2312"/>
              </w:rPr>
              <w:t>鸱鸮科</w:t>
            </w:r>
          </w:p>
        </w:tc>
        <w:tc>
          <w:tcPr>
            <w:tcW w:w="937" w:type="pct"/>
            <w:tcBorders>
              <w:top w:val="nil"/>
              <w:left w:val="nil"/>
              <w:bottom w:val="single" w:color="auto" w:sz="4" w:space="0"/>
              <w:right w:val="single" w:color="auto" w:sz="4" w:space="0"/>
            </w:tcBorders>
            <w:shd w:val="clear" w:color="auto" w:fill="auto"/>
            <w:noWrap/>
            <w:vAlign w:val="center"/>
          </w:tcPr>
          <w:p w14:paraId="5FDBEC29">
            <w:pPr>
              <w:jc w:val="center"/>
              <w:rPr>
                <w:rFonts w:eastAsia="仿宋_GB2312"/>
              </w:rPr>
            </w:pPr>
            <w:r>
              <w:rPr>
                <w:rFonts w:eastAsia="仿宋_GB2312"/>
              </w:rPr>
              <w:t>红角鸮</w:t>
            </w:r>
          </w:p>
        </w:tc>
        <w:tc>
          <w:tcPr>
            <w:tcW w:w="1487" w:type="pct"/>
            <w:tcBorders>
              <w:top w:val="nil"/>
              <w:left w:val="nil"/>
              <w:bottom w:val="single" w:color="auto" w:sz="4" w:space="0"/>
              <w:right w:val="single" w:color="auto" w:sz="4" w:space="0"/>
            </w:tcBorders>
            <w:shd w:val="clear" w:color="auto" w:fill="auto"/>
            <w:noWrap/>
            <w:vAlign w:val="center"/>
          </w:tcPr>
          <w:p w14:paraId="724C1C88">
            <w:pPr>
              <w:jc w:val="center"/>
              <w:rPr>
                <w:rFonts w:eastAsia="仿宋_GB2312"/>
                <w:i/>
                <w:iCs/>
              </w:rPr>
            </w:pPr>
            <w:r>
              <w:rPr>
                <w:rFonts w:eastAsia="仿宋_GB2312"/>
                <w:i/>
                <w:iCs/>
              </w:rPr>
              <w:t>Otus sunia</w:t>
            </w:r>
          </w:p>
        </w:tc>
        <w:tc>
          <w:tcPr>
            <w:tcW w:w="498" w:type="pct"/>
            <w:tcBorders>
              <w:top w:val="nil"/>
              <w:left w:val="nil"/>
              <w:bottom w:val="single" w:color="auto" w:sz="4" w:space="0"/>
              <w:right w:val="single" w:color="auto" w:sz="4" w:space="0"/>
            </w:tcBorders>
            <w:shd w:val="clear" w:color="auto" w:fill="auto"/>
            <w:noWrap/>
            <w:vAlign w:val="center"/>
          </w:tcPr>
          <w:p w14:paraId="645047D3">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72AD802F">
            <w:pPr>
              <w:jc w:val="center"/>
              <w:rPr>
                <w:rFonts w:eastAsia="仿宋_GB2312"/>
              </w:rPr>
            </w:pPr>
            <w:r>
              <w:rPr>
                <w:rFonts w:eastAsia="仿宋_GB2312"/>
              </w:rPr>
              <w:t>LC</w:t>
            </w:r>
          </w:p>
        </w:tc>
      </w:tr>
      <w:tr w14:paraId="0B630CD1">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19B902E8">
            <w:pPr>
              <w:jc w:val="center"/>
              <w:rPr>
                <w:rFonts w:eastAsia="仿宋_GB2312"/>
              </w:rPr>
            </w:pPr>
            <w:r>
              <w:rPr>
                <w:rFonts w:eastAsia="仿宋_GB2312"/>
              </w:rPr>
              <w:t>32</w:t>
            </w:r>
          </w:p>
        </w:tc>
        <w:tc>
          <w:tcPr>
            <w:tcW w:w="469" w:type="pct"/>
            <w:tcBorders>
              <w:top w:val="nil"/>
              <w:left w:val="single" w:color="auto" w:sz="4" w:space="0"/>
              <w:bottom w:val="single" w:color="auto" w:sz="4" w:space="0"/>
              <w:right w:val="single" w:color="auto" w:sz="4" w:space="0"/>
            </w:tcBorders>
            <w:vAlign w:val="center"/>
          </w:tcPr>
          <w:p w14:paraId="26E9204F">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1A91A1E8">
            <w:pPr>
              <w:jc w:val="center"/>
              <w:rPr>
                <w:rFonts w:eastAsia="仿宋_GB2312"/>
              </w:rPr>
            </w:pPr>
            <w:r>
              <w:rPr>
                <w:rFonts w:eastAsia="仿宋_GB2312"/>
              </w:rPr>
              <w:t>鸱鸮科</w:t>
            </w:r>
          </w:p>
        </w:tc>
        <w:tc>
          <w:tcPr>
            <w:tcW w:w="937" w:type="pct"/>
            <w:tcBorders>
              <w:top w:val="nil"/>
              <w:left w:val="nil"/>
              <w:bottom w:val="single" w:color="auto" w:sz="4" w:space="0"/>
              <w:right w:val="single" w:color="auto" w:sz="4" w:space="0"/>
            </w:tcBorders>
            <w:shd w:val="clear" w:color="auto" w:fill="auto"/>
            <w:noWrap/>
            <w:vAlign w:val="center"/>
          </w:tcPr>
          <w:p w14:paraId="4A65E4FE">
            <w:pPr>
              <w:jc w:val="center"/>
              <w:rPr>
                <w:rFonts w:eastAsia="仿宋_GB2312"/>
              </w:rPr>
            </w:pPr>
            <w:r>
              <w:rPr>
                <w:rFonts w:eastAsia="仿宋_GB2312"/>
              </w:rPr>
              <w:t>纵纹腹小鸮</w:t>
            </w:r>
          </w:p>
        </w:tc>
        <w:tc>
          <w:tcPr>
            <w:tcW w:w="1487" w:type="pct"/>
            <w:tcBorders>
              <w:top w:val="nil"/>
              <w:left w:val="nil"/>
              <w:bottom w:val="single" w:color="auto" w:sz="4" w:space="0"/>
              <w:right w:val="single" w:color="auto" w:sz="4" w:space="0"/>
            </w:tcBorders>
            <w:shd w:val="clear" w:color="auto" w:fill="auto"/>
            <w:noWrap/>
            <w:vAlign w:val="center"/>
          </w:tcPr>
          <w:p w14:paraId="646A40C7">
            <w:pPr>
              <w:jc w:val="center"/>
              <w:rPr>
                <w:rFonts w:eastAsia="仿宋_GB2312"/>
                <w:i/>
                <w:iCs/>
              </w:rPr>
            </w:pPr>
            <w:r>
              <w:rPr>
                <w:rFonts w:eastAsia="仿宋_GB2312"/>
                <w:i/>
                <w:iCs/>
              </w:rPr>
              <w:t>Athene noctua</w:t>
            </w:r>
          </w:p>
        </w:tc>
        <w:tc>
          <w:tcPr>
            <w:tcW w:w="498" w:type="pct"/>
            <w:tcBorders>
              <w:top w:val="nil"/>
              <w:left w:val="nil"/>
              <w:bottom w:val="single" w:color="auto" w:sz="4" w:space="0"/>
              <w:right w:val="single" w:color="auto" w:sz="4" w:space="0"/>
            </w:tcBorders>
            <w:shd w:val="clear" w:color="auto" w:fill="auto"/>
            <w:noWrap/>
            <w:vAlign w:val="center"/>
          </w:tcPr>
          <w:p w14:paraId="4855D11D">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308D39A6">
            <w:pPr>
              <w:jc w:val="center"/>
              <w:rPr>
                <w:rFonts w:eastAsia="仿宋_GB2312"/>
              </w:rPr>
            </w:pPr>
            <w:r>
              <w:rPr>
                <w:rFonts w:eastAsia="仿宋_GB2312"/>
              </w:rPr>
              <w:t>LC</w:t>
            </w:r>
          </w:p>
        </w:tc>
      </w:tr>
      <w:tr w14:paraId="695A3D4E">
        <w:tblPrEx>
          <w:tblCellMar>
            <w:top w:w="0" w:type="dxa"/>
            <w:left w:w="108" w:type="dxa"/>
            <w:bottom w:w="0" w:type="dxa"/>
            <w:right w:w="108" w:type="dxa"/>
          </w:tblCellMar>
        </w:tblPrEx>
        <w:trPr>
          <w:trHeight w:val="639"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DBE337B">
            <w:pPr>
              <w:jc w:val="center"/>
              <w:rPr>
                <w:rFonts w:eastAsia="仿宋_GB2312"/>
              </w:rPr>
            </w:pPr>
            <w:r>
              <w:rPr>
                <w:rFonts w:eastAsia="仿宋_GB2312"/>
              </w:rPr>
              <w:t>33</w:t>
            </w:r>
          </w:p>
        </w:tc>
        <w:tc>
          <w:tcPr>
            <w:tcW w:w="469" w:type="pct"/>
            <w:tcBorders>
              <w:top w:val="nil"/>
              <w:left w:val="single" w:color="auto" w:sz="4" w:space="0"/>
              <w:bottom w:val="single" w:color="auto" w:sz="4" w:space="0"/>
              <w:right w:val="single" w:color="auto" w:sz="4" w:space="0"/>
            </w:tcBorders>
            <w:vAlign w:val="center"/>
          </w:tcPr>
          <w:p w14:paraId="08D8DB73">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44474E60">
            <w:pPr>
              <w:jc w:val="center"/>
              <w:rPr>
                <w:rFonts w:eastAsia="仿宋_GB2312"/>
              </w:rPr>
            </w:pPr>
            <w:r>
              <w:rPr>
                <w:rFonts w:eastAsia="仿宋_GB2312"/>
              </w:rPr>
              <w:t>鸱鸮科</w:t>
            </w:r>
          </w:p>
        </w:tc>
        <w:tc>
          <w:tcPr>
            <w:tcW w:w="937" w:type="pct"/>
            <w:tcBorders>
              <w:top w:val="nil"/>
              <w:left w:val="nil"/>
              <w:bottom w:val="single" w:color="auto" w:sz="4" w:space="0"/>
              <w:right w:val="single" w:color="auto" w:sz="4" w:space="0"/>
            </w:tcBorders>
            <w:shd w:val="clear" w:color="auto" w:fill="auto"/>
            <w:noWrap/>
            <w:vAlign w:val="center"/>
          </w:tcPr>
          <w:p w14:paraId="3D7E5F0A">
            <w:pPr>
              <w:jc w:val="center"/>
              <w:rPr>
                <w:rFonts w:eastAsia="仿宋_GB2312"/>
              </w:rPr>
            </w:pPr>
            <w:r>
              <w:rPr>
                <w:rFonts w:eastAsia="仿宋_GB2312"/>
              </w:rPr>
              <w:t>短耳鸮</w:t>
            </w:r>
          </w:p>
        </w:tc>
        <w:tc>
          <w:tcPr>
            <w:tcW w:w="1487" w:type="pct"/>
            <w:tcBorders>
              <w:top w:val="nil"/>
              <w:left w:val="nil"/>
              <w:bottom w:val="single" w:color="auto" w:sz="4" w:space="0"/>
              <w:right w:val="single" w:color="auto" w:sz="4" w:space="0"/>
            </w:tcBorders>
            <w:shd w:val="clear" w:color="auto" w:fill="auto"/>
            <w:noWrap/>
            <w:vAlign w:val="center"/>
          </w:tcPr>
          <w:p w14:paraId="0CED8CA5">
            <w:pPr>
              <w:jc w:val="center"/>
              <w:rPr>
                <w:rFonts w:eastAsia="仿宋_GB2312"/>
                <w:i/>
                <w:iCs/>
              </w:rPr>
            </w:pPr>
            <w:r>
              <w:rPr>
                <w:rFonts w:eastAsia="仿宋_GB2312"/>
                <w:i/>
                <w:iCs/>
              </w:rPr>
              <w:t>Asio flammeus</w:t>
            </w:r>
          </w:p>
        </w:tc>
        <w:tc>
          <w:tcPr>
            <w:tcW w:w="498" w:type="pct"/>
            <w:tcBorders>
              <w:top w:val="nil"/>
              <w:left w:val="nil"/>
              <w:bottom w:val="single" w:color="auto" w:sz="4" w:space="0"/>
              <w:right w:val="single" w:color="auto" w:sz="4" w:space="0"/>
            </w:tcBorders>
            <w:shd w:val="clear" w:color="auto" w:fill="auto"/>
            <w:noWrap/>
            <w:vAlign w:val="center"/>
          </w:tcPr>
          <w:p w14:paraId="7F71A811">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0C62BE56">
            <w:pPr>
              <w:jc w:val="center"/>
              <w:rPr>
                <w:rFonts w:eastAsia="仿宋_GB2312"/>
              </w:rPr>
            </w:pPr>
            <w:r>
              <w:rPr>
                <w:rFonts w:eastAsia="仿宋_GB2312"/>
              </w:rPr>
              <w:t>NT</w:t>
            </w:r>
          </w:p>
        </w:tc>
      </w:tr>
      <w:tr w14:paraId="2A37F678">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20BE9272">
            <w:pPr>
              <w:jc w:val="center"/>
              <w:rPr>
                <w:rFonts w:eastAsia="仿宋_GB2312"/>
              </w:rPr>
            </w:pPr>
            <w:r>
              <w:rPr>
                <w:rFonts w:eastAsia="仿宋_GB2312"/>
              </w:rPr>
              <w:t>34</w:t>
            </w:r>
          </w:p>
        </w:tc>
        <w:tc>
          <w:tcPr>
            <w:tcW w:w="469" w:type="pct"/>
            <w:tcBorders>
              <w:top w:val="nil"/>
              <w:left w:val="single" w:color="auto" w:sz="4" w:space="0"/>
              <w:bottom w:val="single" w:color="auto" w:sz="4" w:space="0"/>
              <w:right w:val="single" w:color="auto" w:sz="4" w:space="0"/>
            </w:tcBorders>
            <w:vAlign w:val="center"/>
          </w:tcPr>
          <w:p w14:paraId="66AC6682">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648FC0AB">
            <w:pPr>
              <w:jc w:val="center"/>
              <w:rPr>
                <w:rFonts w:eastAsia="仿宋_GB2312"/>
              </w:rPr>
            </w:pPr>
            <w:r>
              <w:rPr>
                <w:rFonts w:eastAsia="仿宋_GB2312"/>
              </w:rPr>
              <w:t>隼科</w:t>
            </w:r>
          </w:p>
        </w:tc>
        <w:tc>
          <w:tcPr>
            <w:tcW w:w="937" w:type="pct"/>
            <w:tcBorders>
              <w:top w:val="nil"/>
              <w:left w:val="nil"/>
              <w:bottom w:val="single" w:color="auto" w:sz="4" w:space="0"/>
              <w:right w:val="single" w:color="auto" w:sz="4" w:space="0"/>
            </w:tcBorders>
            <w:shd w:val="clear" w:color="auto" w:fill="auto"/>
            <w:noWrap/>
            <w:vAlign w:val="center"/>
          </w:tcPr>
          <w:p w14:paraId="4A271426">
            <w:pPr>
              <w:jc w:val="center"/>
              <w:rPr>
                <w:rFonts w:eastAsia="仿宋_GB2312"/>
              </w:rPr>
            </w:pPr>
            <w:r>
              <w:rPr>
                <w:rFonts w:eastAsia="仿宋_GB2312"/>
              </w:rPr>
              <w:t>红隼</w:t>
            </w:r>
          </w:p>
        </w:tc>
        <w:tc>
          <w:tcPr>
            <w:tcW w:w="1487" w:type="pct"/>
            <w:tcBorders>
              <w:top w:val="nil"/>
              <w:left w:val="nil"/>
              <w:bottom w:val="single" w:color="auto" w:sz="4" w:space="0"/>
              <w:right w:val="single" w:color="auto" w:sz="4" w:space="0"/>
            </w:tcBorders>
            <w:shd w:val="clear" w:color="auto" w:fill="auto"/>
            <w:noWrap/>
            <w:vAlign w:val="center"/>
          </w:tcPr>
          <w:p w14:paraId="70F7727A">
            <w:pPr>
              <w:jc w:val="center"/>
              <w:rPr>
                <w:rFonts w:eastAsia="仿宋_GB2312"/>
                <w:i/>
                <w:iCs/>
              </w:rPr>
            </w:pPr>
            <w:r>
              <w:rPr>
                <w:rFonts w:eastAsia="仿宋_GB2312"/>
                <w:i/>
                <w:iCs/>
              </w:rPr>
              <w:t>Falco tinnunculus</w:t>
            </w:r>
          </w:p>
        </w:tc>
        <w:tc>
          <w:tcPr>
            <w:tcW w:w="498" w:type="pct"/>
            <w:tcBorders>
              <w:top w:val="nil"/>
              <w:left w:val="nil"/>
              <w:bottom w:val="single" w:color="auto" w:sz="4" w:space="0"/>
              <w:right w:val="single" w:color="auto" w:sz="4" w:space="0"/>
            </w:tcBorders>
            <w:shd w:val="clear" w:color="auto" w:fill="auto"/>
            <w:noWrap/>
            <w:vAlign w:val="center"/>
          </w:tcPr>
          <w:p w14:paraId="10D3ED12">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1A6B9102">
            <w:pPr>
              <w:jc w:val="center"/>
              <w:rPr>
                <w:rFonts w:eastAsia="仿宋_GB2312"/>
              </w:rPr>
            </w:pPr>
            <w:r>
              <w:rPr>
                <w:rFonts w:eastAsia="仿宋_GB2312"/>
              </w:rPr>
              <w:t>LC</w:t>
            </w:r>
          </w:p>
        </w:tc>
      </w:tr>
      <w:tr w14:paraId="245A80FC">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A4B4892">
            <w:pPr>
              <w:jc w:val="center"/>
              <w:rPr>
                <w:rFonts w:eastAsia="仿宋_GB2312"/>
              </w:rPr>
            </w:pPr>
            <w:r>
              <w:rPr>
                <w:rFonts w:eastAsia="仿宋_GB2312"/>
              </w:rPr>
              <w:t>35</w:t>
            </w:r>
          </w:p>
        </w:tc>
        <w:tc>
          <w:tcPr>
            <w:tcW w:w="469" w:type="pct"/>
            <w:tcBorders>
              <w:top w:val="nil"/>
              <w:left w:val="single" w:color="auto" w:sz="4" w:space="0"/>
              <w:bottom w:val="single" w:color="auto" w:sz="4" w:space="0"/>
              <w:right w:val="single" w:color="auto" w:sz="4" w:space="0"/>
            </w:tcBorders>
            <w:vAlign w:val="center"/>
          </w:tcPr>
          <w:p w14:paraId="28B2495E">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4F6A3D0B">
            <w:pPr>
              <w:jc w:val="center"/>
              <w:rPr>
                <w:rFonts w:eastAsia="仿宋_GB2312"/>
              </w:rPr>
            </w:pPr>
            <w:r>
              <w:rPr>
                <w:rFonts w:eastAsia="仿宋_GB2312"/>
              </w:rPr>
              <w:t>隼科</w:t>
            </w:r>
          </w:p>
        </w:tc>
        <w:tc>
          <w:tcPr>
            <w:tcW w:w="937" w:type="pct"/>
            <w:tcBorders>
              <w:top w:val="nil"/>
              <w:left w:val="nil"/>
              <w:bottom w:val="single" w:color="auto" w:sz="4" w:space="0"/>
              <w:right w:val="single" w:color="auto" w:sz="4" w:space="0"/>
            </w:tcBorders>
            <w:shd w:val="clear" w:color="auto" w:fill="auto"/>
            <w:noWrap/>
            <w:vAlign w:val="center"/>
          </w:tcPr>
          <w:p w14:paraId="21DFBAD8">
            <w:pPr>
              <w:jc w:val="center"/>
              <w:rPr>
                <w:rFonts w:eastAsia="仿宋_GB2312"/>
              </w:rPr>
            </w:pPr>
            <w:r>
              <w:rPr>
                <w:rFonts w:eastAsia="仿宋_GB2312"/>
              </w:rPr>
              <w:t>红脚隼</w:t>
            </w:r>
          </w:p>
        </w:tc>
        <w:tc>
          <w:tcPr>
            <w:tcW w:w="1487" w:type="pct"/>
            <w:tcBorders>
              <w:top w:val="nil"/>
              <w:left w:val="nil"/>
              <w:bottom w:val="single" w:color="auto" w:sz="4" w:space="0"/>
              <w:right w:val="single" w:color="auto" w:sz="4" w:space="0"/>
            </w:tcBorders>
            <w:shd w:val="clear" w:color="auto" w:fill="auto"/>
            <w:noWrap/>
            <w:vAlign w:val="center"/>
          </w:tcPr>
          <w:p w14:paraId="36820F39">
            <w:pPr>
              <w:jc w:val="center"/>
              <w:rPr>
                <w:rFonts w:eastAsia="仿宋_GB2312"/>
                <w:i/>
                <w:iCs/>
              </w:rPr>
            </w:pPr>
            <w:r>
              <w:rPr>
                <w:rFonts w:eastAsia="仿宋_GB2312"/>
                <w:i/>
                <w:iCs/>
              </w:rPr>
              <w:t>Falco amurensis</w:t>
            </w:r>
          </w:p>
        </w:tc>
        <w:tc>
          <w:tcPr>
            <w:tcW w:w="498" w:type="pct"/>
            <w:tcBorders>
              <w:top w:val="nil"/>
              <w:left w:val="nil"/>
              <w:bottom w:val="single" w:color="auto" w:sz="4" w:space="0"/>
              <w:right w:val="single" w:color="auto" w:sz="4" w:space="0"/>
            </w:tcBorders>
            <w:shd w:val="clear" w:color="auto" w:fill="auto"/>
            <w:noWrap/>
            <w:vAlign w:val="center"/>
          </w:tcPr>
          <w:p w14:paraId="7AE59FA4">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3788A227">
            <w:pPr>
              <w:jc w:val="center"/>
              <w:rPr>
                <w:rFonts w:eastAsia="仿宋_GB2312"/>
              </w:rPr>
            </w:pPr>
            <w:r>
              <w:rPr>
                <w:rFonts w:eastAsia="仿宋_GB2312"/>
              </w:rPr>
              <w:t>NT</w:t>
            </w:r>
          </w:p>
        </w:tc>
      </w:tr>
      <w:tr w14:paraId="6BAE8B0C">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701728A8">
            <w:pPr>
              <w:jc w:val="center"/>
              <w:rPr>
                <w:rFonts w:eastAsia="仿宋_GB2312"/>
              </w:rPr>
            </w:pPr>
            <w:r>
              <w:rPr>
                <w:rFonts w:eastAsia="仿宋_GB2312"/>
              </w:rPr>
              <w:t>36</w:t>
            </w:r>
          </w:p>
        </w:tc>
        <w:tc>
          <w:tcPr>
            <w:tcW w:w="469" w:type="pct"/>
            <w:tcBorders>
              <w:top w:val="nil"/>
              <w:left w:val="single" w:color="auto" w:sz="4" w:space="0"/>
              <w:bottom w:val="single" w:color="auto" w:sz="4" w:space="0"/>
              <w:right w:val="single" w:color="auto" w:sz="4" w:space="0"/>
            </w:tcBorders>
            <w:vAlign w:val="center"/>
          </w:tcPr>
          <w:p w14:paraId="042386CC">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5B575D96">
            <w:pPr>
              <w:jc w:val="center"/>
              <w:rPr>
                <w:rFonts w:eastAsia="仿宋_GB2312"/>
              </w:rPr>
            </w:pPr>
            <w:r>
              <w:rPr>
                <w:rFonts w:eastAsia="仿宋_GB2312"/>
              </w:rPr>
              <w:t>隼科</w:t>
            </w:r>
          </w:p>
        </w:tc>
        <w:tc>
          <w:tcPr>
            <w:tcW w:w="937" w:type="pct"/>
            <w:tcBorders>
              <w:top w:val="nil"/>
              <w:left w:val="nil"/>
              <w:bottom w:val="single" w:color="auto" w:sz="4" w:space="0"/>
              <w:right w:val="single" w:color="auto" w:sz="4" w:space="0"/>
            </w:tcBorders>
            <w:shd w:val="clear" w:color="auto" w:fill="auto"/>
            <w:noWrap/>
            <w:vAlign w:val="center"/>
          </w:tcPr>
          <w:p w14:paraId="67420730">
            <w:pPr>
              <w:jc w:val="center"/>
              <w:rPr>
                <w:rFonts w:eastAsia="仿宋_GB2312"/>
              </w:rPr>
            </w:pPr>
            <w:r>
              <w:rPr>
                <w:rFonts w:eastAsia="仿宋_GB2312"/>
              </w:rPr>
              <w:t>灰背隼</w:t>
            </w:r>
          </w:p>
        </w:tc>
        <w:tc>
          <w:tcPr>
            <w:tcW w:w="1487" w:type="pct"/>
            <w:tcBorders>
              <w:top w:val="nil"/>
              <w:left w:val="nil"/>
              <w:bottom w:val="single" w:color="auto" w:sz="4" w:space="0"/>
              <w:right w:val="single" w:color="auto" w:sz="4" w:space="0"/>
            </w:tcBorders>
            <w:shd w:val="clear" w:color="auto" w:fill="auto"/>
            <w:noWrap/>
            <w:vAlign w:val="center"/>
          </w:tcPr>
          <w:p w14:paraId="3B34ABB0">
            <w:pPr>
              <w:jc w:val="center"/>
              <w:rPr>
                <w:rFonts w:eastAsia="仿宋_GB2312"/>
                <w:i/>
                <w:iCs/>
              </w:rPr>
            </w:pPr>
            <w:r>
              <w:rPr>
                <w:rFonts w:eastAsia="仿宋_GB2312"/>
                <w:i/>
                <w:iCs/>
              </w:rPr>
              <w:t>Falco columbarius</w:t>
            </w:r>
          </w:p>
        </w:tc>
        <w:tc>
          <w:tcPr>
            <w:tcW w:w="498" w:type="pct"/>
            <w:tcBorders>
              <w:top w:val="nil"/>
              <w:left w:val="nil"/>
              <w:bottom w:val="single" w:color="auto" w:sz="4" w:space="0"/>
              <w:right w:val="single" w:color="auto" w:sz="4" w:space="0"/>
            </w:tcBorders>
            <w:shd w:val="clear" w:color="auto" w:fill="auto"/>
            <w:noWrap/>
            <w:vAlign w:val="center"/>
          </w:tcPr>
          <w:p w14:paraId="7DC58458">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3BFBA9BB">
            <w:pPr>
              <w:jc w:val="center"/>
              <w:rPr>
                <w:rFonts w:eastAsia="仿宋_GB2312"/>
              </w:rPr>
            </w:pPr>
            <w:r>
              <w:rPr>
                <w:rFonts w:eastAsia="仿宋_GB2312"/>
              </w:rPr>
              <w:t>NT</w:t>
            </w:r>
          </w:p>
        </w:tc>
      </w:tr>
      <w:tr w14:paraId="5085210F">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0A22C232">
            <w:pPr>
              <w:jc w:val="center"/>
              <w:rPr>
                <w:rFonts w:eastAsia="仿宋_GB2312"/>
              </w:rPr>
            </w:pPr>
            <w:r>
              <w:rPr>
                <w:rFonts w:eastAsia="仿宋_GB2312"/>
              </w:rPr>
              <w:t>37</w:t>
            </w:r>
          </w:p>
        </w:tc>
        <w:tc>
          <w:tcPr>
            <w:tcW w:w="469" w:type="pct"/>
            <w:tcBorders>
              <w:top w:val="nil"/>
              <w:left w:val="single" w:color="auto" w:sz="4" w:space="0"/>
              <w:bottom w:val="single" w:color="auto" w:sz="4" w:space="0"/>
              <w:right w:val="single" w:color="auto" w:sz="4" w:space="0"/>
            </w:tcBorders>
            <w:vAlign w:val="center"/>
          </w:tcPr>
          <w:p w14:paraId="017CE4A2">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49472B1A">
            <w:pPr>
              <w:jc w:val="center"/>
              <w:rPr>
                <w:rFonts w:eastAsia="仿宋_GB2312"/>
              </w:rPr>
            </w:pPr>
            <w:r>
              <w:rPr>
                <w:rFonts w:eastAsia="仿宋_GB2312"/>
              </w:rPr>
              <w:t>隼科</w:t>
            </w:r>
          </w:p>
        </w:tc>
        <w:tc>
          <w:tcPr>
            <w:tcW w:w="937" w:type="pct"/>
            <w:tcBorders>
              <w:top w:val="nil"/>
              <w:left w:val="nil"/>
              <w:bottom w:val="single" w:color="auto" w:sz="4" w:space="0"/>
              <w:right w:val="single" w:color="auto" w:sz="4" w:space="0"/>
            </w:tcBorders>
            <w:shd w:val="clear" w:color="auto" w:fill="auto"/>
            <w:noWrap/>
            <w:vAlign w:val="center"/>
          </w:tcPr>
          <w:p w14:paraId="3DEAEE52">
            <w:pPr>
              <w:jc w:val="center"/>
              <w:rPr>
                <w:rFonts w:eastAsia="仿宋_GB2312"/>
              </w:rPr>
            </w:pPr>
            <w:r>
              <w:rPr>
                <w:rFonts w:eastAsia="仿宋_GB2312"/>
              </w:rPr>
              <w:t>燕隼</w:t>
            </w:r>
          </w:p>
        </w:tc>
        <w:tc>
          <w:tcPr>
            <w:tcW w:w="1487" w:type="pct"/>
            <w:tcBorders>
              <w:top w:val="nil"/>
              <w:left w:val="nil"/>
              <w:bottom w:val="single" w:color="auto" w:sz="4" w:space="0"/>
              <w:right w:val="single" w:color="auto" w:sz="4" w:space="0"/>
            </w:tcBorders>
            <w:shd w:val="clear" w:color="auto" w:fill="auto"/>
            <w:noWrap/>
            <w:vAlign w:val="center"/>
          </w:tcPr>
          <w:p w14:paraId="16932E72">
            <w:pPr>
              <w:jc w:val="center"/>
              <w:rPr>
                <w:rFonts w:eastAsia="仿宋_GB2312"/>
                <w:i/>
                <w:iCs/>
              </w:rPr>
            </w:pPr>
            <w:r>
              <w:rPr>
                <w:rFonts w:eastAsia="仿宋_GB2312"/>
                <w:i/>
                <w:iCs/>
              </w:rPr>
              <w:t>Falco subbuteo</w:t>
            </w:r>
          </w:p>
        </w:tc>
        <w:tc>
          <w:tcPr>
            <w:tcW w:w="498" w:type="pct"/>
            <w:tcBorders>
              <w:top w:val="nil"/>
              <w:left w:val="nil"/>
              <w:bottom w:val="single" w:color="auto" w:sz="4" w:space="0"/>
              <w:right w:val="single" w:color="auto" w:sz="4" w:space="0"/>
            </w:tcBorders>
            <w:shd w:val="clear" w:color="auto" w:fill="auto"/>
            <w:noWrap/>
            <w:vAlign w:val="center"/>
          </w:tcPr>
          <w:p w14:paraId="7D61272C">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1C0741C4">
            <w:pPr>
              <w:jc w:val="center"/>
              <w:rPr>
                <w:rFonts w:eastAsia="仿宋_GB2312"/>
              </w:rPr>
            </w:pPr>
            <w:r>
              <w:rPr>
                <w:rFonts w:eastAsia="仿宋_GB2312"/>
              </w:rPr>
              <w:t>LC</w:t>
            </w:r>
          </w:p>
        </w:tc>
      </w:tr>
      <w:tr w14:paraId="08E164FD">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035C41F5">
            <w:pPr>
              <w:jc w:val="center"/>
              <w:rPr>
                <w:rFonts w:eastAsia="仿宋_GB2312"/>
              </w:rPr>
            </w:pPr>
            <w:r>
              <w:rPr>
                <w:rFonts w:eastAsia="仿宋_GB2312"/>
              </w:rPr>
              <w:t>38</w:t>
            </w:r>
          </w:p>
        </w:tc>
        <w:tc>
          <w:tcPr>
            <w:tcW w:w="469" w:type="pct"/>
            <w:tcBorders>
              <w:top w:val="nil"/>
              <w:left w:val="single" w:color="auto" w:sz="4" w:space="0"/>
              <w:bottom w:val="single" w:color="auto" w:sz="4" w:space="0"/>
              <w:right w:val="single" w:color="auto" w:sz="4" w:space="0"/>
            </w:tcBorders>
            <w:vAlign w:val="center"/>
          </w:tcPr>
          <w:p w14:paraId="18C9E391">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39CD6CBE">
            <w:pPr>
              <w:jc w:val="center"/>
              <w:rPr>
                <w:rFonts w:eastAsia="仿宋_GB2312"/>
              </w:rPr>
            </w:pPr>
            <w:r>
              <w:rPr>
                <w:rFonts w:eastAsia="仿宋_GB2312"/>
              </w:rPr>
              <w:t>隼科</w:t>
            </w:r>
          </w:p>
        </w:tc>
        <w:tc>
          <w:tcPr>
            <w:tcW w:w="937" w:type="pct"/>
            <w:tcBorders>
              <w:top w:val="nil"/>
              <w:left w:val="nil"/>
              <w:bottom w:val="single" w:color="auto" w:sz="4" w:space="0"/>
              <w:right w:val="single" w:color="auto" w:sz="4" w:space="0"/>
            </w:tcBorders>
            <w:shd w:val="clear" w:color="auto" w:fill="auto"/>
            <w:noWrap/>
            <w:vAlign w:val="center"/>
          </w:tcPr>
          <w:p w14:paraId="6CD3B012">
            <w:pPr>
              <w:jc w:val="center"/>
              <w:rPr>
                <w:rFonts w:eastAsia="仿宋_GB2312"/>
              </w:rPr>
            </w:pPr>
            <w:r>
              <w:rPr>
                <w:rFonts w:eastAsia="仿宋_GB2312"/>
              </w:rPr>
              <w:t>游隼</w:t>
            </w:r>
          </w:p>
        </w:tc>
        <w:tc>
          <w:tcPr>
            <w:tcW w:w="1487" w:type="pct"/>
            <w:tcBorders>
              <w:top w:val="nil"/>
              <w:left w:val="nil"/>
              <w:bottom w:val="single" w:color="auto" w:sz="4" w:space="0"/>
              <w:right w:val="single" w:color="auto" w:sz="4" w:space="0"/>
            </w:tcBorders>
            <w:shd w:val="clear" w:color="auto" w:fill="auto"/>
            <w:noWrap/>
            <w:vAlign w:val="center"/>
          </w:tcPr>
          <w:p w14:paraId="2DE5B565">
            <w:pPr>
              <w:jc w:val="center"/>
              <w:rPr>
                <w:rFonts w:eastAsia="仿宋_GB2312"/>
                <w:i/>
                <w:iCs/>
              </w:rPr>
            </w:pPr>
            <w:r>
              <w:rPr>
                <w:rFonts w:eastAsia="仿宋_GB2312"/>
                <w:i/>
                <w:iCs/>
              </w:rPr>
              <w:t>Falco peregrinus</w:t>
            </w:r>
          </w:p>
        </w:tc>
        <w:tc>
          <w:tcPr>
            <w:tcW w:w="498" w:type="pct"/>
            <w:tcBorders>
              <w:top w:val="nil"/>
              <w:left w:val="nil"/>
              <w:bottom w:val="single" w:color="auto" w:sz="4" w:space="0"/>
              <w:right w:val="single" w:color="auto" w:sz="4" w:space="0"/>
            </w:tcBorders>
            <w:shd w:val="clear" w:color="auto" w:fill="auto"/>
            <w:noWrap/>
            <w:vAlign w:val="center"/>
          </w:tcPr>
          <w:p w14:paraId="14B8D539">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6A885500">
            <w:pPr>
              <w:jc w:val="center"/>
              <w:rPr>
                <w:rFonts w:eastAsia="仿宋_GB2312"/>
              </w:rPr>
            </w:pPr>
            <w:r>
              <w:rPr>
                <w:rFonts w:eastAsia="仿宋_GB2312"/>
              </w:rPr>
              <w:t>NT</w:t>
            </w:r>
          </w:p>
        </w:tc>
      </w:tr>
      <w:tr w14:paraId="5A8DE397">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2298E536">
            <w:pPr>
              <w:jc w:val="center"/>
              <w:rPr>
                <w:rFonts w:eastAsia="仿宋_GB2312"/>
              </w:rPr>
            </w:pPr>
            <w:r>
              <w:rPr>
                <w:rFonts w:eastAsia="仿宋_GB2312"/>
              </w:rPr>
              <w:t>39</w:t>
            </w:r>
          </w:p>
        </w:tc>
        <w:tc>
          <w:tcPr>
            <w:tcW w:w="469" w:type="pct"/>
            <w:tcBorders>
              <w:top w:val="nil"/>
              <w:left w:val="single" w:color="auto" w:sz="4" w:space="0"/>
              <w:bottom w:val="single" w:color="auto" w:sz="4" w:space="0"/>
              <w:right w:val="single" w:color="auto" w:sz="4" w:space="0"/>
            </w:tcBorders>
            <w:vAlign w:val="center"/>
          </w:tcPr>
          <w:p w14:paraId="4FF75B3D">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685F64BE">
            <w:pPr>
              <w:jc w:val="center"/>
              <w:rPr>
                <w:rFonts w:eastAsia="仿宋_GB2312"/>
              </w:rPr>
            </w:pPr>
            <w:r>
              <w:rPr>
                <w:rFonts w:eastAsia="仿宋_GB2312"/>
              </w:rPr>
              <w:t>百灵科</w:t>
            </w:r>
          </w:p>
        </w:tc>
        <w:tc>
          <w:tcPr>
            <w:tcW w:w="937" w:type="pct"/>
            <w:tcBorders>
              <w:top w:val="nil"/>
              <w:left w:val="nil"/>
              <w:bottom w:val="single" w:color="auto" w:sz="4" w:space="0"/>
              <w:right w:val="single" w:color="auto" w:sz="4" w:space="0"/>
            </w:tcBorders>
            <w:shd w:val="clear" w:color="auto" w:fill="auto"/>
            <w:noWrap/>
            <w:vAlign w:val="center"/>
          </w:tcPr>
          <w:p w14:paraId="785888B3">
            <w:pPr>
              <w:jc w:val="center"/>
              <w:rPr>
                <w:rFonts w:eastAsia="仿宋_GB2312"/>
              </w:rPr>
            </w:pPr>
            <w:r>
              <w:rPr>
                <w:rFonts w:eastAsia="仿宋_GB2312"/>
              </w:rPr>
              <w:t>云雀</w:t>
            </w:r>
          </w:p>
        </w:tc>
        <w:tc>
          <w:tcPr>
            <w:tcW w:w="1487" w:type="pct"/>
            <w:tcBorders>
              <w:top w:val="nil"/>
              <w:left w:val="nil"/>
              <w:bottom w:val="single" w:color="auto" w:sz="4" w:space="0"/>
              <w:right w:val="single" w:color="auto" w:sz="4" w:space="0"/>
            </w:tcBorders>
            <w:shd w:val="clear" w:color="auto" w:fill="auto"/>
            <w:noWrap/>
            <w:vAlign w:val="center"/>
          </w:tcPr>
          <w:p w14:paraId="60ED7BC7">
            <w:pPr>
              <w:jc w:val="center"/>
              <w:rPr>
                <w:rFonts w:eastAsia="仿宋_GB2312"/>
                <w:i/>
                <w:iCs/>
              </w:rPr>
            </w:pPr>
            <w:r>
              <w:rPr>
                <w:rFonts w:eastAsia="仿宋_GB2312"/>
                <w:i/>
                <w:iCs/>
              </w:rPr>
              <w:t>Alauda arvensis</w:t>
            </w:r>
          </w:p>
        </w:tc>
        <w:tc>
          <w:tcPr>
            <w:tcW w:w="498" w:type="pct"/>
            <w:tcBorders>
              <w:top w:val="nil"/>
              <w:left w:val="nil"/>
              <w:bottom w:val="single" w:color="auto" w:sz="4" w:space="0"/>
              <w:right w:val="single" w:color="auto" w:sz="4" w:space="0"/>
            </w:tcBorders>
            <w:shd w:val="clear" w:color="auto" w:fill="auto"/>
            <w:noWrap/>
            <w:vAlign w:val="center"/>
          </w:tcPr>
          <w:p w14:paraId="47CDD045">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04EC4D29">
            <w:pPr>
              <w:jc w:val="center"/>
              <w:rPr>
                <w:rFonts w:eastAsia="仿宋_GB2312"/>
              </w:rPr>
            </w:pPr>
            <w:r>
              <w:rPr>
                <w:rFonts w:eastAsia="仿宋_GB2312"/>
              </w:rPr>
              <w:t>LC</w:t>
            </w:r>
          </w:p>
        </w:tc>
      </w:tr>
      <w:tr w14:paraId="6D66BC48">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6908BE13">
            <w:pPr>
              <w:jc w:val="center"/>
              <w:rPr>
                <w:rFonts w:eastAsia="仿宋_GB2312"/>
              </w:rPr>
            </w:pPr>
            <w:r>
              <w:rPr>
                <w:rFonts w:eastAsia="仿宋_GB2312"/>
              </w:rPr>
              <w:t>40</w:t>
            </w:r>
          </w:p>
        </w:tc>
        <w:tc>
          <w:tcPr>
            <w:tcW w:w="469" w:type="pct"/>
            <w:tcBorders>
              <w:top w:val="nil"/>
              <w:left w:val="single" w:color="auto" w:sz="4" w:space="0"/>
              <w:bottom w:val="single" w:color="auto" w:sz="4" w:space="0"/>
              <w:right w:val="single" w:color="auto" w:sz="4" w:space="0"/>
            </w:tcBorders>
            <w:vAlign w:val="center"/>
          </w:tcPr>
          <w:p w14:paraId="12BD9193">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25FDC6D3">
            <w:pPr>
              <w:jc w:val="center"/>
              <w:rPr>
                <w:rFonts w:eastAsia="仿宋_GB2312"/>
              </w:rPr>
            </w:pPr>
            <w:r>
              <w:rPr>
                <w:rFonts w:eastAsia="仿宋_GB2312"/>
              </w:rPr>
              <w:t>莺鹛科</w:t>
            </w:r>
          </w:p>
        </w:tc>
        <w:tc>
          <w:tcPr>
            <w:tcW w:w="937" w:type="pct"/>
            <w:tcBorders>
              <w:top w:val="nil"/>
              <w:left w:val="nil"/>
              <w:bottom w:val="single" w:color="auto" w:sz="4" w:space="0"/>
              <w:right w:val="single" w:color="auto" w:sz="4" w:space="0"/>
            </w:tcBorders>
            <w:shd w:val="clear" w:color="auto" w:fill="auto"/>
            <w:noWrap/>
            <w:vAlign w:val="center"/>
          </w:tcPr>
          <w:p w14:paraId="094506A5">
            <w:pPr>
              <w:jc w:val="center"/>
              <w:rPr>
                <w:rFonts w:eastAsia="仿宋_GB2312"/>
              </w:rPr>
            </w:pPr>
            <w:r>
              <w:rPr>
                <w:rFonts w:eastAsia="仿宋_GB2312"/>
              </w:rPr>
              <w:t>震旦鸦雀</w:t>
            </w:r>
          </w:p>
        </w:tc>
        <w:tc>
          <w:tcPr>
            <w:tcW w:w="1487" w:type="pct"/>
            <w:tcBorders>
              <w:top w:val="nil"/>
              <w:left w:val="nil"/>
              <w:bottom w:val="single" w:color="auto" w:sz="4" w:space="0"/>
              <w:right w:val="single" w:color="auto" w:sz="4" w:space="0"/>
            </w:tcBorders>
            <w:shd w:val="clear" w:color="auto" w:fill="auto"/>
            <w:noWrap/>
            <w:vAlign w:val="center"/>
          </w:tcPr>
          <w:p w14:paraId="340779C6">
            <w:pPr>
              <w:jc w:val="center"/>
              <w:rPr>
                <w:rFonts w:eastAsia="仿宋_GB2312"/>
                <w:i/>
                <w:iCs/>
              </w:rPr>
            </w:pPr>
            <w:r>
              <w:rPr>
                <w:rFonts w:eastAsia="仿宋_GB2312"/>
                <w:i/>
                <w:iCs/>
              </w:rPr>
              <w:t>Paradoxornis heudei</w:t>
            </w:r>
          </w:p>
        </w:tc>
        <w:tc>
          <w:tcPr>
            <w:tcW w:w="498" w:type="pct"/>
            <w:tcBorders>
              <w:top w:val="nil"/>
              <w:left w:val="nil"/>
              <w:bottom w:val="single" w:color="auto" w:sz="4" w:space="0"/>
              <w:right w:val="single" w:color="auto" w:sz="4" w:space="0"/>
            </w:tcBorders>
            <w:shd w:val="clear" w:color="auto" w:fill="auto"/>
            <w:noWrap/>
            <w:vAlign w:val="center"/>
          </w:tcPr>
          <w:p w14:paraId="4754BC6C">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32B81100">
            <w:pPr>
              <w:jc w:val="center"/>
              <w:rPr>
                <w:rFonts w:eastAsia="仿宋_GB2312"/>
              </w:rPr>
            </w:pPr>
            <w:r>
              <w:rPr>
                <w:rFonts w:eastAsia="仿宋_GB2312"/>
              </w:rPr>
              <w:t>NT</w:t>
            </w:r>
          </w:p>
        </w:tc>
      </w:tr>
      <w:tr w14:paraId="2E654309">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49C6DDBF">
            <w:pPr>
              <w:jc w:val="center"/>
              <w:rPr>
                <w:rFonts w:eastAsia="仿宋_GB2312"/>
              </w:rPr>
            </w:pPr>
            <w:r>
              <w:rPr>
                <w:rFonts w:eastAsia="仿宋_GB2312"/>
              </w:rPr>
              <w:t>41</w:t>
            </w:r>
          </w:p>
        </w:tc>
        <w:tc>
          <w:tcPr>
            <w:tcW w:w="469" w:type="pct"/>
            <w:tcBorders>
              <w:top w:val="nil"/>
              <w:left w:val="single" w:color="auto" w:sz="4" w:space="0"/>
              <w:bottom w:val="single" w:color="auto" w:sz="4" w:space="0"/>
              <w:right w:val="single" w:color="auto" w:sz="4" w:space="0"/>
            </w:tcBorders>
            <w:vAlign w:val="center"/>
          </w:tcPr>
          <w:p w14:paraId="455972B1">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6792636F">
            <w:pPr>
              <w:jc w:val="center"/>
              <w:rPr>
                <w:rFonts w:eastAsia="仿宋_GB2312"/>
              </w:rPr>
            </w:pPr>
            <w:r>
              <w:rPr>
                <w:rFonts w:eastAsia="仿宋_GB2312"/>
              </w:rPr>
              <w:t>噪鹛科</w:t>
            </w:r>
          </w:p>
        </w:tc>
        <w:tc>
          <w:tcPr>
            <w:tcW w:w="937" w:type="pct"/>
            <w:tcBorders>
              <w:top w:val="nil"/>
              <w:left w:val="nil"/>
              <w:bottom w:val="single" w:color="auto" w:sz="4" w:space="0"/>
              <w:right w:val="single" w:color="auto" w:sz="4" w:space="0"/>
            </w:tcBorders>
            <w:shd w:val="clear" w:color="auto" w:fill="auto"/>
            <w:noWrap/>
            <w:vAlign w:val="center"/>
          </w:tcPr>
          <w:p w14:paraId="42D5EEF6">
            <w:pPr>
              <w:jc w:val="center"/>
              <w:rPr>
                <w:rFonts w:eastAsia="仿宋_GB2312"/>
              </w:rPr>
            </w:pPr>
            <w:r>
              <w:rPr>
                <w:rFonts w:eastAsia="仿宋_GB2312"/>
              </w:rPr>
              <w:t>画眉</w:t>
            </w:r>
          </w:p>
        </w:tc>
        <w:tc>
          <w:tcPr>
            <w:tcW w:w="1487" w:type="pct"/>
            <w:tcBorders>
              <w:top w:val="nil"/>
              <w:left w:val="nil"/>
              <w:bottom w:val="single" w:color="auto" w:sz="4" w:space="0"/>
              <w:right w:val="single" w:color="auto" w:sz="4" w:space="0"/>
            </w:tcBorders>
            <w:shd w:val="clear" w:color="auto" w:fill="auto"/>
            <w:noWrap/>
            <w:vAlign w:val="center"/>
          </w:tcPr>
          <w:p w14:paraId="032AD563">
            <w:pPr>
              <w:jc w:val="center"/>
              <w:rPr>
                <w:rFonts w:eastAsia="仿宋_GB2312"/>
                <w:i/>
                <w:iCs/>
              </w:rPr>
            </w:pPr>
            <w:r>
              <w:rPr>
                <w:rFonts w:eastAsia="仿宋_GB2312"/>
                <w:i/>
                <w:iCs/>
              </w:rPr>
              <w:t>Garrulax canorus</w:t>
            </w:r>
          </w:p>
        </w:tc>
        <w:tc>
          <w:tcPr>
            <w:tcW w:w="498" w:type="pct"/>
            <w:tcBorders>
              <w:top w:val="nil"/>
              <w:left w:val="nil"/>
              <w:bottom w:val="single" w:color="auto" w:sz="4" w:space="0"/>
              <w:right w:val="single" w:color="auto" w:sz="4" w:space="0"/>
            </w:tcBorders>
            <w:shd w:val="clear" w:color="auto" w:fill="auto"/>
            <w:noWrap/>
            <w:vAlign w:val="center"/>
          </w:tcPr>
          <w:p w14:paraId="1881DCF3">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3D17BD87">
            <w:pPr>
              <w:jc w:val="center"/>
              <w:rPr>
                <w:rFonts w:eastAsia="仿宋_GB2312"/>
              </w:rPr>
            </w:pPr>
            <w:r>
              <w:rPr>
                <w:rFonts w:eastAsia="仿宋_GB2312"/>
              </w:rPr>
              <w:t>NT</w:t>
            </w:r>
          </w:p>
        </w:tc>
      </w:tr>
      <w:tr w14:paraId="15A22A29">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2743EA11">
            <w:pPr>
              <w:jc w:val="center"/>
              <w:rPr>
                <w:rFonts w:eastAsia="仿宋_GB2312"/>
              </w:rPr>
            </w:pPr>
            <w:r>
              <w:rPr>
                <w:rFonts w:eastAsia="仿宋_GB2312"/>
              </w:rPr>
              <w:t>42</w:t>
            </w:r>
          </w:p>
        </w:tc>
        <w:tc>
          <w:tcPr>
            <w:tcW w:w="469" w:type="pct"/>
            <w:tcBorders>
              <w:top w:val="nil"/>
              <w:left w:val="single" w:color="auto" w:sz="4" w:space="0"/>
              <w:bottom w:val="single" w:color="auto" w:sz="4" w:space="0"/>
              <w:right w:val="single" w:color="auto" w:sz="4" w:space="0"/>
            </w:tcBorders>
            <w:vAlign w:val="center"/>
          </w:tcPr>
          <w:p w14:paraId="1D4FE78D">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57D7FB08">
            <w:pPr>
              <w:jc w:val="center"/>
              <w:rPr>
                <w:rFonts w:eastAsia="仿宋_GB2312"/>
              </w:rPr>
            </w:pPr>
            <w:r>
              <w:rPr>
                <w:rFonts w:eastAsia="仿宋_GB2312"/>
              </w:rPr>
              <w:t>鹟科</w:t>
            </w:r>
          </w:p>
        </w:tc>
        <w:tc>
          <w:tcPr>
            <w:tcW w:w="937" w:type="pct"/>
            <w:tcBorders>
              <w:top w:val="nil"/>
              <w:left w:val="nil"/>
              <w:bottom w:val="single" w:color="auto" w:sz="4" w:space="0"/>
              <w:right w:val="single" w:color="auto" w:sz="4" w:space="0"/>
            </w:tcBorders>
            <w:shd w:val="clear" w:color="auto" w:fill="auto"/>
            <w:noWrap/>
            <w:vAlign w:val="center"/>
          </w:tcPr>
          <w:p w14:paraId="58D15483">
            <w:pPr>
              <w:jc w:val="center"/>
              <w:rPr>
                <w:rFonts w:eastAsia="仿宋_GB2312"/>
              </w:rPr>
            </w:pPr>
            <w:r>
              <w:rPr>
                <w:rFonts w:eastAsia="仿宋_GB2312"/>
              </w:rPr>
              <w:t>红喉歌鸲</w:t>
            </w:r>
          </w:p>
        </w:tc>
        <w:tc>
          <w:tcPr>
            <w:tcW w:w="1487" w:type="pct"/>
            <w:tcBorders>
              <w:top w:val="nil"/>
              <w:left w:val="nil"/>
              <w:bottom w:val="single" w:color="auto" w:sz="4" w:space="0"/>
              <w:right w:val="single" w:color="auto" w:sz="4" w:space="0"/>
            </w:tcBorders>
            <w:shd w:val="clear" w:color="auto" w:fill="auto"/>
            <w:noWrap/>
            <w:vAlign w:val="center"/>
          </w:tcPr>
          <w:p w14:paraId="70DB836A">
            <w:pPr>
              <w:jc w:val="center"/>
              <w:rPr>
                <w:rFonts w:eastAsia="仿宋_GB2312"/>
                <w:i/>
                <w:iCs/>
              </w:rPr>
            </w:pPr>
            <w:r>
              <w:rPr>
                <w:rFonts w:eastAsia="仿宋_GB2312"/>
                <w:i/>
                <w:iCs/>
              </w:rPr>
              <w:t>Calliope calliope</w:t>
            </w:r>
          </w:p>
        </w:tc>
        <w:tc>
          <w:tcPr>
            <w:tcW w:w="498" w:type="pct"/>
            <w:tcBorders>
              <w:top w:val="nil"/>
              <w:left w:val="nil"/>
              <w:bottom w:val="single" w:color="auto" w:sz="4" w:space="0"/>
              <w:right w:val="single" w:color="auto" w:sz="4" w:space="0"/>
            </w:tcBorders>
            <w:shd w:val="clear" w:color="auto" w:fill="auto"/>
            <w:noWrap/>
            <w:vAlign w:val="center"/>
          </w:tcPr>
          <w:p w14:paraId="53E17727">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auto" w:fill="auto"/>
            <w:noWrap/>
            <w:vAlign w:val="center"/>
          </w:tcPr>
          <w:p w14:paraId="26963F37">
            <w:pPr>
              <w:jc w:val="center"/>
              <w:rPr>
                <w:rFonts w:eastAsia="仿宋_GB2312"/>
              </w:rPr>
            </w:pPr>
            <w:r>
              <w:rPr>
                <w:rFonts w:eastAsia="仿宋_GB2312"/>
              </w:rPr>
              <w:t>LC</w:t>
            </w:r>
          </w:p>
        </w:tc>
      </w:tr>
      <w:tr w14:paraId="0F142CC5">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152A6453">
            <w:pPr>
              <w:jc w:val="center"/>
              <w:rPr>
                <w:rFonts w:eastAsia="仿宋_GB2312"/>
              </w:rPr>
            </w:pPr>
            <w:r>
              <w:rPr>
                <w:rFonts w:eastAsia="仿宋_GB2312"/>
              </w:rPr>
              <w:t>43</w:t>
            </w:r>
          </w:p>
        </w:tc>
        <w:tc>
          <w:tcPr>
            <w:tcW w:w="469" w:type="pct"/>
            <w:tcBorders>
              <w:top w:val="nil"/>
              <w:left w:val="single" w:color="auto" w:sz="4" w:space="0"/>
              <w:bottom w:val="single" w:color="auto" w:sz="4" w:space="0"/>
              <w:right w:val="single" w:color="auto" w:sz="4" w:space="0"/>
            </w:tcBorders>
            <w:vAlign w:val="center"/>
          </w:tcPr>
          <w:p w14:paraId="2EF141CA">
            <w:pPr>
              <w:jc w:val="center"/>
              <w:rPr>
                <w:rFonts w:eastAsia="仿宋_GB2312"/>
              </w:rPr>
            </w:pPr>
            <w:r>
              <w:rPr>
                <w:rFonts w:eastAsia="仿宋_GB2312"/>
              </w:rPr>
              <w:t>鸟类</w:t>
            </w:r>
          </w:p>
        </w:tc>
        <w:tc>
          <w:tcPr>
            <w:tcW w:w="607" w:type="pct"/>
            <w:tcBorders>
              <w:top w:val="nil"/>
              <w:left w:val="nil"/>
              <w:bottom w:val="single" w:color="auto" w:sz="4" w:space="0"/>
              <w:right w:val="single" w:color="auto" w:sz="4" w:space="0"/>
            </w:tcBorders>
            <w:shd w:val="clear" w:color="auto" w:fill="auto"/>
            <w:noWrap/>
            <w:vAlign w:val="center"/>
          </w:tcPr>
          <w:p w14:paraId="28F32DB4">
            <w:pPr>
              <w:jc w:val="center"/>
              <w:rPr>
                <w:rFonts w:eastAsia="仿宋_GB2312"/>
              </w:rPr>
            </w:pPr>
            <w:r>
              <w:rPr>
                <w:rFonts w:eastAsia="仿宋_GB2312"/>
              </w:rPr>
              <w:t>鹬科</w:t>
            </w:r>
          </w:p>
        </w:tc>
        <w:tc>
          <w:tcPr>
            <w:tcW w:w="937" w:type="pct"/>
            <w:tcBorders>
              <w:top w:val="nil"/>
              <w:left w:val="nil"/>
              <w:bottom w:val="single" w:color="auto" w:sz="4" w:space="0"/>
              <w:right w:val="single" w:color="auto" w:sz="4" w:space="0"/>
            </w:tcBorders>
            <w:shd w:val="clear" w:color="auto" w:fill="auto"/>
            <w:noWrap/>
            <w:vAlign w:val="center"/>
          </w:tcPr>
          <w:p w14:paraId="3A13297B">
            <w:pPr>
              <w:jc w:val="center"/>
              <w:rPr>
                <w:rFonts w:eastAsia="仿宋_GB2312"/>
              </w:rPr>
            </w:pPr>
            <w:r>
              <w:rPr>
                <w:rFonts w:eastAsia="仿宋_GB2312"/>
              </w:rPr>
              <w:t>红腹滨鹬</w:t>
            </w:r>
          </w:p>
        </w:tc>
        <w:tc>
          <w:tcPr>
            <w:tcW w:w="1487" w:type="pct"/>
            <w:tcBorders>
              <w:top w:val="nil"/>
              <w:left w:val="nil"/>
              <w:bottom w:val="single" w:color="auto" w:sz="4" w:space="0"/>
              <w:right w:val="single" w:color="auto" w:sz="4" w:space="0"/>
            </w:tcBorders>
            <w:shd w:val="clear" w:color="auto" w:fill="auto"/>
            <w:noWrap/>
            <w:vAlign w:val="center"/>
          </w:tcPr>
          <w:p w14:paraId="54A2E6C4">
            <w:pPr>
              <w:jc w:val="center"/>
              <w:rPr>
                <w:rFonts w:eastAsia="仿宋_GB2312"/>
                <w:i/>
                <w:iCs/>
              </w:rPr>
            </w:pPr>
            <w:r>
              <w:rPr>
                <w:rFonts w:eastAsia="仿宋_GB2312"/>
                <w:i/>
                <w:iCs/>
              </w:rPr>
              <w:t>Calidris canutus</w:t>
            </w:r>
          </w:p>
        </w:tc>
        <w:tc>
          <w:tcPr>
            <w:tcW w:w="498" w:type="pct"/>
            <w:tcBorders>
              <w:top w:val="nil"/>
              <w:left w:val="nil"/>
              <w:bottom w:val="single" w:color="auto" w:sz="4" w:space="0"/>
              <w:right w:val="single" w:color="auto" w:sz="4" w:space="0"/>
            </w:tcBorders>
            <w:shd w:val="clear" w:color="auto" w:fill="auto"/>
            <w:noWrap/>
            <w:vAlign w:val="center"/>
          </w:tcPr>
          <w:p w14:paraId="60FDFD0C">
            <w:pPr>
              <w:jc w:val="center"/>
              <w:rPr>
                <w:rFonts w:eastAsia="仿宋_GB2312"/>
              </w:rPr>
            </w:pPr>
            <w:r>
              <w:rPr>
                <w:rFonts w:eastAsia="仿宋_GB2312"/>
              </w:rPr>
              <w:t>/</w:t>
            </w:r>
          </w:p>
        </w:tc>
        <w:tc>
          <w:tcPr>
            <w:tcW w:w="647" w:type="pct"/>
            <w:tcBorders>
              <w:top w:val="nil"/>
              <w:left w:val="nil"/>
              <w:bottom w:val="single" w:color="auto" w:sz="4" w:space="0"/>
              <w:right w:val="single" w:color="auto" w:sz="4" w:space="0"/>
            </w:tcBorders>
            <w:shd w:val="clear" w:color="auto" w:fill="auto"/>
            <w:noWrap/>
            <w:vAlign w:val="center"/>
          </w:tcPr>
          <w:p w14:paraId="22428953">
            <w:pPr>
              <w:jc w:val="center"/>
              <w:rPr>
                <w:rFonts w:eastAsia="仿宋_GB2312"/>
              </w:rPr>
            </w:pPr>
            <w:r>
              <w:rPr>
                <w:rFonts w:eastAsia="仿宋_GB2312"/>
              </w:rPr>
              <w:t>VU</w:t>
            </w:r>
          </w:p>
        </w:tc>
      </w:tr>
      <w:tr w14:paraId="59598A97">
        <w:tblPrEx>
          <w:tblCellMar>
            <w:top w:w="0" w:type="dxa"/>
            <w:left w:w="108" w:type="dxa"/>
            <w:bottom w:w="0" w:type="dxa"/>
            <w:right w:w="108" w:type="dxa"/>
          </w:tblCellMar>
        </w:tblPrEx>
        <w:trPr>
          <w:trHeight w:val="609"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2BA1F23">
            <w:pPr>
              <w:jc w:val="center"/>
              <w:rPr>
                <w:rFonts w:eastAsia="仿宋_GB2312"/>
              </w:rPr>
            </w:pPr>
            <w:r>
              <w:rPr>
                <w:rFonts w:eastAsia="仿宋_GB2312"/>
              </w:rPr>
              <w:t>44</w:t>
            </w:r>
          </w:p>
        </w:tc>
        <w:tc>
          <w:tcPr>
            <w:tcW w:w="469" w:type="pct"/>
            <w:tcBorders>
              <w:top w:val="nil"/>
              <w:left w:val="single" w:color="auto" w:sz="4" w:space="0"/>
              <w:bottom w:val="single" w:color="auto" w:sz="4" w:space="0"/>
              <w:right w:val="single" w:color="auto" w:sz="4" w:space="0"/>
            </w:tcBorders>
            <w:vAlign w:val="center"/>
          </w:tcPr>
          <w:p w14:paraId="61AD73C9">
            <w:pPr>
              <w:jc w:val="center"/>
              <w:rPr>
                <w:rFonts w:eastAsia="仿宋_GB2312"/>
              </w:rPr>
            </w:pPr>
            <w:r>
              <w:rPr>
                <w:rFonts w:eastAsia="仿宋_GB2312"/>
              </w:rPr>
              <w:t>两栖动物</w:t>
            </w:r>
          </w:p>
        </w:tc>
        <w:tc>
          <w:tcPr>
            <w:tcW w:w="607" w:type="pct"/>
            <w:tcBorders>
              <w:top w:val="nil"/>
              <w:left w:val="nil"/>
              <w:bottom w:val="single" w:color="auto" w:sz="4" w:space="0"/>
              <w:right w:val="single" w:color="auto" w:sz="4" w:space="0"/>
            </w:tcBorders>
            <w:shd w:val="clear" w:color="auto" w:fill="auto"/>
            <w:noWrap/>
            <w:vAlign w:val="center"/>
          </w:tcPr>
          <w:p w14:paraId="3C971362">
            <w:pPr>
              <w:jc w:val="center"/>
              <w:textAlignment w:val="center"/>
              <w:rPr>
                <w:rFonts w:eastAsia="仿宋_GB2312"/>
              </w:rPr>
            </w:pPr>
            <w:r>
              <w:rPr>
                <w:rFonts w:eastAsia="仿宋_GB2312"/>
                <w:color w:val="000000"/>
                <w:lang w:bidi="ar"/>
              </w:rPr>
              <w:t>蟾蜍科</w:t>
            </w:r>
          </w:p>
        </w:tc>
        <w:tc>
          <w:tcPr>
            <w:tcW w:w="937" w:type="pct"/>
            <w:tcBorders>
              <w:top w:val="nil"/>
              <w:left w:val="nil"/>
              <w:bottom w:val="single" w:color="auto" w:sz="4" w:space="0"/>
              <w:right w:val="single" w:color="auto" w:sz="4" w:space="0"/>
            </w:tcBorders>
            <w:shd w:val="clear" w:color="auto" w:fill="auto"/>
            <w:noWrap/>
            <w:vAlign w:val="center"/>
          </w:tcPr>
          <w:p w14:paraId="106A3F11">
            <w:pPr>
              <w:jc w:val="center"/>
              <w:textAlignment w:val="center"/>
              <w:rPr>
                <w:rFonts w:eastAsia="仿宋_GB2312"/>
              </w:rPr>
            </w:pPr>
            <w:r>
              <w:rPr>
                <w:rFonts w:eastAsia="仿宋_GB2312"/>
                <w:color w:val="000000"/>
                <w:lang w:bidi="ar"/>
              </w:rPr>
              <w:t>中华蟾蜍</w:t>
            </w:r>
          </w:p>
        </w:tc>
        <w:tc>
          <w:tcPr>
            <w:tcW w:w="1487" w:type="pct"/>
            <w:tcBorders>
              <w:top w:val="nil"/>
              <w:left w:val="nil"/>
              <w:bottom w:val="single" w:color="auto" w:sz="4" w:space="0"/>
              <w:right w:val="single" w:color="auto" w:sz="4" w:space="0"/>
            </w:tcBorders>
            <w:shd w:val="clear" w:color="auto" w:fill="auto"/>
            <w:noWrap/>
            <w:vAlign w:val="center"/>
          </w:tcPr>
          <w:p w14:paraId="2083A237">
            <w:pPr>
              <w:jc w:val="center"/>
              <w:textAlignment w:val="center"/>
              <w:rPr>
                <w:rFonts w:eastAsia="仿宋_GB2312"/>
                <w:i/>
                <w:iCs/>
              </w:rPr>
            </w:pPr>
            <w:r>
              <w:rPr>
                <w:rFonts w:eastAsia="仿宋_GB2312"/>
                <w:i/>
                <w:iCs/>
                <w:color w:val="000000"/>
                <w:lang w:bidi="ar"/>
              </w:rPr>
              <w:t>Bufo gargarizans</w:t>
            </w:r>
          </w:p>
        </w:tc>
        <w:tc>
          <w:tcPr>
            <w:tcW w:w="498" w:type="pct"/>
            <w:tcBorders>
              <w:top w:val="nil"/>
              <w:left w:val="nil"/>
              <w:bottom w:val="single" w:color="auto" w:sz="4" w:space="0"/>
              <w:right w:val="single" w:color="auto" w:sz="4" w:space="0"/>
            </w:tcBorders>
            <w:shd w:val="clear" w:color="auto" w:fill="auto"/>
            <w:noWrap/>
            <w:vAlign w:val="center"/>
          </w:tcPr>
          <w:p w14:paraId="43B68E74">
            <w:pPr>
              <w:jc w:val="center"/>
              <w:rPr>
                <w:rFonts w:eastAsia="仿宋_GB2312"/>
              </w:rPr>
            </w:pPr>
            <w:r>
              <w:rPr>
                <w:rFonts w:eastAsia="仿宋_GB2312"/>
              </w:rPr>
              <w:t>省重点保护</w:t>
            </w:r>
          </w:p>
        </w:tc>
        <w:tc>
          <w:tcPr>
            <w:tcW w:w="647" w:type="pct"/>
            <w:tcBorders>
              <w:top w:val="nil"/>
              <w:left w:val="nil"/>
              <w:bottom w:val="single" w:color="auto" w:sz="4" w:space="0"/>
              <w:right w:val="single" w:color="auto" w:sz="4" w:space="0"/>
            </w:tcBorders>
            <w:shd w:val="clear" w:color="auto" w:fill="auto"/>
            <w:noWrap/>
            <w:vAlign w:val="center"/>
          </w:tcPr>
          <w:p w14:paraId="4D05C984">
            <w:pPr>
              <w:jc w:val="center"/>
              <w:textAlignment w:val="center"/>
              <w:rPr>
                <w:rFonts w:eastAsia="仿宋_GB2312"/>
              </w:rPr>
            </w:pPr>
            <w:r>
              <w:rPr>
                <w:rFonts w:eastAsia="仿宋_GB2312"/>
                <w:color w:val="000000"/>
                <w:lang w:bidi="ar"/>
              </w:rPr>
              <w:t>LC</w:t>
            </w:r>
          </w:p>
        </w:tc>
      </w:tr>
      <w:tr w14:paraId="450501C5">
        <w:tblPrEx>
          <w:tblCellMar>
            <w:top w:w="0" w:type="dxa"/>
            <w:left w:w="108" w:type="dxa"/>
            <w:bottom w:w="0" w:type="dxa"/>
            <w:right w:w="108" w:type="dxa"/>
          </w:tblCellMar>
        </w:tblPrEx>
        <w:trPr>
          <w:trHeight w:val="609"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661A84C0">
            <w:pPr>
              <w:jc w:val="center"/>
              <w:rPr>
                <w:rFonts w:eastAsia="仿宋_GB2312"/>
              </w:rPr>
            </w:pPr>
            <w:r>
              <w:rPr>
                <w:rFonts w:eastAsia="仿宋_GB2312"/>
              </w:rPr>
              <w:t>45</w:t>
            </w:r>
          </w:p>
        </w:tc>
        <w:tc>
          <w:tcPr>
            <w:tcW w:w="469" w:type="pct"/>
            <w:tcBorders>
              <w:top w:val="nil"/>
              <w:left w:val="single" w:color="auto" w:sz="4" w:space="0"/>
              <w:bottom w:val="single" w:color="auto" w:sz="4" w:space="0"/>
              <w:right w:val="single" w:color="auto" w:sz="4" w:space="0"/>
            </w:tcBorders>
            <w:vAlign w:val="center"/>
          </w:tcPr>
          <w:p w14:paraId="2B888BE3">
            <w:pPr>
              <w:jc w:val="center"/>
              <w:rPr>
                <w:rFonts w:eastAsia="仿宋_GB2312"/>
              </w:rPr>
            </w:pPr>
            <w:r>
              <w:rPr>
                <w:rFonts w:eastAsia="仿宋_GB2312"/>
              </w:rPr>
              <w:t>两栖动物</w:t>
            </w:r>
          </w:p>
        </w:tc>
        <w:tc>
          <w:tcPr>
            <w:tcW w:w="607" w:type="pct"/>
            <w:tcBorders>
              <w:top w:val="nil"/>
              <w:left w:val="nil"/>
              <w:bottom w:val="single" w:color="auto" w:sz="4" w:space="0"/>
              <w:right w:val="single" w:color="auto" w:sz="4" w:space="0"/>
            </w:tcBorders>
            <w:shd w:val="clear" w:color="auto" w:fill="auto"/>
            <w:noWrap/>
            <w:vAlign w:val="center"/>
          </w:tcPr>
          <w:p w14:paraId="20420615">
            <w:pPr>
              <w:jc w:val="center"/>
              <w:textAlignment w:val="center"/>
              <w:rPr>
                <w:rFonts w:eastAsia="仿宋_GB2312"/>
              </w:rPr>
            </w:pPr>
            <w:r>
              <w:rPr>
                <w:rFonts w:eastAsia="仿宋_GB2312"/>
                <w:color w:val="000000"/>
                <w:lang w:bidi="ar"/>
              </w:rPr>
              <w:t>蛙科</w:t>
            </w:r>
          </w:p>
        </w:tc>
        <w:tc>
          <w:tcPr>
            <w:tcW w:w="937" w:type="pct"/>
            <w:tcBorders>
              <w:top w:val="nil"/>
              <w:left w:val="nil"/>
              <w:bottom w:val="single" w:color="auto" w:sz="4" w:space="0"/>
              <w:right w:val="single" w:color="auto" w:sz="4" w:space="0"/>
            </w:tcBorders>
            <w:shd w:val="clear" w:color="auto" w:fill="auto"/>
            <w:noWrap/>
            <w:vAlign w:val="center"/>
          </w:tcPr>
          <w:p w14:paraId="006F7549">
            <w:pPr>
              <w:jc w:val="center"/>
              <w:textAlignment w:val="center"/>
              <w:rPr>
                <w:rFonts w:eastAsia="仿宋_GB2312"/>
              </w:rPr>
            </w:pPr>
            <w:r>
              <w:rPr>
                <w:rFonts w:eastAsia="仿宋_GB2312"/>
                <w:color w:val="000000"/>
                <w:lang w:bidi="ar"/>
              </w:rPr>
              <w:t>黑斑侧褶蛙</w:t>
            </w:r>
          </w:p>
        </w:tc>
        <w:tc>
          <w:tcPr>
            <w:tcW w:w="1487" w:type="pct"/>
            <w:tcBorders>
              <w:top w:val="nil"/>
              <w:left w:val="nil"/>
              <w:bottom w:val="single" w:color="auto" w:sz="4" w:space="0"/>
              <w:right w:val="single" w:color="auto" w:sz="4" w:space="0"/>
            </w:tcBorders>
            <w:shd w:val="clear" w:color="auto" w:fill="auto"/>
            <w:noWrap/>
            <w:vAlign w:val="center"/>
          </w:tcPr>
          <w:p w14:paraId="68714811">
            <w:pPr>
              <w:jc w:val="center"/>
              <w:textAlignment w:val="center"/>
              <w:rPr>
                <w:rFonts w:eastAsia="仿宋_GB2312"/>
                <w:i/>
                <w:iCs/>
              </w:rPr>
            </w:pPr>
            <w:r>
              <w:rPr>
                <w:rFonts w:eastAsia="仿宋_GB2312"/>
                <w:i/>
                <w:iCs/>
                <w:color w:val="000000"/>
                <w:lang w:bidi="ar"/>
              </w:rPr>
              <w:t>Pelophylax nigromoculatus</w:t>
            </w:r>
          </w:p>
        </w:tc>
        <w:tc>
          <w:tcPr>
            <w:tcW w:w="498" w:type="pct"/>
            <w:tcBorders>
              <w:top w:val="nil"/>
              <w:left w:val="nil"/>
              <w:bottom w:val="single" w:color="auto" w:sz="4" w:space="0"/>
              <w:right w:val="single" w:color="auto" w:sz="4" w:space="0"/>
            </w:tcBorders>
            <w:shd w:val="clear" w:color="auto" w:fill="auto"/>
            <w:noWrap/>
            <w:vAlign w:val="center"/>
          </w:tcPr>
          <w:p w14:paraId="509F1452">
            <w:pPr>
              <w:jc w:val="center"/>
              <w:rPr>
                <w:rFonts w:eastAsia="仿宋_GB2312"/>
              </w:rPr>
            </w:pPr>
            <w:r>
              <w:rPr>
                <w:rFonts w:eastAsia="仿宋_GB2312"/>
              </w:rPr>
              <w:t>省重点保护</w:t>
            </w:r>
          </w:p>
        </w:tc>
        <w:tc>
          <w:tcPr>
            <w:tcW w:w="647" w:type="pct"/>
            <w:tcBorders>
              <w:top w:val="nil"/>
              <w:left w:val="nil"/>
              <w:bottom w:val="single" w:color="auto" w:sz="4" w:space="0"/>
              <w:right w:val="single" w:color="auto" w:sz="4" w:space="0"/>
            </w:tcBorders>
            <w:shd w:val="clear" w:color="auto" w:fill="auto"/>
            <w:noWrap/>
            <w:vAlign w:val="center"/>
          </w:tcPr>
          <w:p w14:paraId="162A7F2D">
            <w:pPr>
              <w:jc w:val="center"/>
              <w:textAlignment w:val="center"/>
              <w:rPr>
                <w:rFonts w:eastAsia="仿宋_GB2312"/>
              </w:rPr>
            </w:pPr>
            <w:r>
              <w:rPr>
                <w:rFonts w:eastAsia="仿宋_GB2312"/>
                <w:color w:val="000000"/>
                <w:lang w:bidi="ar"/>
              </w:rPr>
              <w:t>NT</w:t>
            </w:r>
          </w:p>
        </w:tc>
      </w:tr>
      <w:tr w14:paraId="5CB1D92B">
        <w:tblPrEx>
          <w:tblCellMar>
            <w:top w:w="0" w:type="dxa"/>
            <w:left w:w="108" w:type="dxa"/>
            <w:bottom w:w="0" w:type="dxa"/>
            <w:right w:w="108" w:type="dxa"/>
          </w:tblCellMar>
        </w:tblPrEx>
        <w:trPr>
          <w:trHeight w:val="534"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1CE68AD9">
            <w:pPr>
              <w:jc w:val="center"/>
              <w:rPr>
                <w:rFonts w:eastAsia="仿宋_GB2312"/>
              </w:rPr>
            </w:pPr>
            <w:r>
              <w:rPr>
                <w:rFonts w:eastAsia="仿宋_GB2312"/>
              </w:rPr>
              <w:t>46</w:t>
            </w:r>
          </w:p>
        </w:tc>
        <w:tc>
          <w:tcPr>
            <w:tcW w:w="469" w:type="pct"/>
            <w:tcBorders>
              <w:top w:val="nil"/>
              <w:left w:val="single" w:color="auto" w:sz="4" w:space="0"/>
              <w:bottom w:val="single" w:color="auto" w:sz="4" w:space="0"/>
              <w:right w:val="single" w:color="auto" w:sz="4" w:space="0"/>
            </w:tcBorders>
            <w:vAlign w:val="center"/>
          </w:tcPr>
          <w:p w14:paraId="0995410D">
            <w:pPr>
              <w:jc w:val="center"/>
              <w:rPr>
                <w:rFonts w:eastAsia="仿宋_GB2312"/>
              </w:rPr>
            </w:pPr>
            <w:r>
              <w:rPr>
                <w:rFonts w:eastAsia="仿宋_GB2312"/>
              </w:rPr>
              <w:t>两栖动物</w:t>
            </w:r>
          </w:p>
        </w:tc>
        <w:tc>
          <w:tcPr>
            <w:tcW w:w="607" w:type="pct"/>
            <w:tcBorders>
              <w:top w:val="nil"/>
              <w:left w:val="nil"/>
              <w:bottom w:val="single" w:color="auto" w:sz="4" w:space="0"/>
              <w:right w:val="single" w:color="auto" w:sz="4" w:space="0"/>
            </w:tcBorders>
            <w:shd w:val="clear" w:color="auto" w:fill="auto"/>
            <w:noWrap/>
            <w:vAlign w:val="center"/>
          </w:tcPr>
          <w:p w14:paraId="0CED37F1">
            <w:pPr>
              <w:jc w:val="center"/>
              <w:textAlignment w:val="center"/>
              <w:rPr>
                <w:rFonts w:eastAsia="仿宋_GB2312"/>
              </w:rPr>
            </w:pPr>
            <w:r>
              <w:rPr>
                <w:rFonts w:eastAsia="仿宋_GB2312"/>
                <w:color w:val="000000"/>
                <w:lang w:bidi="ar"/>
              </w:rPr>
              <w:t>蛙科</w:t>
            </w:r>
          </w:p>
        </w:tc>
        <w:tc>
          <w:tcPr>
            <w:tcW w:w="937" w:type="pct"/>
            <w:tcBorders>
              <w:top w:val="nil"/>
              <w:left w:val="nil"/>
              <w:bottom w:val="single" w:color="auto" w:sz="4" w:space="0"/>
              <w:right w:val="single" w:color="auto" w:sz="4" w:space="0"/>
            </w:tcBorders>
            <w:shd w:val="clear" w:color="auto" w:fill="auto"/>
            <w:noWrap/>
            <w:vAlign w:val="center"/>
          </w:tcPr>
          <w:p w14:paraId="63F07B8C">
            <w:pPr>
              <w:jc w:val="center"/>
              <w:textAlignment w:val="center"/>
              <w:rPr>
                <w:rFonts w:eastAsia="仿宋_GB2312"/>
              </w:rPr>
            </w:pPr>
            <w:r>
              <w:rPr>
                <w:rFonts w:eastAsia="仿宋_GB2312"/>
                <w:color w:val="000000"/>
                <w:lang w:bidi="ar"/>
              </w:rPr>
              <w:t>金线侧褶蛙</w:t>
            </w:r>
          </w:p>
        </w:tc>
        <w:tc>
          <w:tcPr>
            <w:tcW w:w="1487" w:type="pct"/>
            <w:tcBorders>
              <w:top w:val="nil"/>
              <w:left w:val="nil"/>
              <w:bottom w:val="single" w:color="auto" w:sz="4" w:space="0"/>
              <w:right w:val="single" w:color="auto" w:sz="4" w:space="0"/>
            </w:tcBorders>
            <w:shd w:val="clear" w:color="auto" w:fill="auto"/>
            <w:noWrap/>
            <w:vAlign w:val="center"/>
          </w:tcPr>
          <w:p w14:paraId="381997A7">
            <w:pPr>
              <w:jc w:val="center"/>
              <w:textAlignment w:val="center"/>
              <w:rPr>
                <w:rFonts w:eastAsia="仿宋_GB2312"/>
                <w:i/>
                <w:iCs/>
              </w:rPr>
            </w:pPr>
            <w:r>
              <w:rPr>
                <w:rFonts w:eastAsia="仿宋_GB2312"/>
                <w:i/>
                <w:iCs/>
                <w:color w:val="000000"/>
                <w:lang w:bidi="ar"/>
              </w:rPr>
              <w:t>Pelophylax plancyi</w:t>
            </w:r>
          </w:p>
        </w:tc>
        <w:tc>
          <w:tcPr>
            <w:tcW w:w="498" w:type="pct"/>
            <w:tcBorders>
              <w:top w:val="nil"/>
              <w:left w:val="nil"/>
              <w:bottom w:val="single" w:color="auto" w:sz="4" w:space="0"/>
              <w:right w:val="single" w:color="auto" w:sz="4" w:space="0"/>
            </w:tcBorders>
            <w:shd w:val="clear" w:color="auto" w:fill="auto"/>
            <w:noWrap/>
            <w:vAlign w:val="center"/>
          </w:tcPr>
          <w:p w14:paraId="025FD8BA">
            <w:pPr>
              <w:jc w:val="center"/>
              <w:rPr>
                <w:rFonts w:eastAsia="仿宋_GB2312"/>
              </w:rPr>
            </w:pPr>
            <w:r>
              <w:rPr>
                <w:rFonts w:eastAsia="仿宋_GB2312"/>
              </w:rPr>
              <w:t>省重点保护</w:t>
            </w:r>
          </w:p>
        </w:tc>
        <w:tc>
          <w:tcPr>
            <w:tcW w:w="647" w:type="pct"/>
            <w:tcBorders>
              <w:top w:val="nil"/>
              <w:left w:val="nil"/>
              <w:bottom w:val="single" w:color="auto" w:sz="4" w:space="0"/>
              <w:right w:val="single" w:color="auto" w:sz="4" w:space="0"/>
            </w:tcBorders>
            <w:shd w:val="clear" w:color="auto" w:fill="auto"/>
            <w:noWrap/>
            <w:vAlign w:val="center"/>
          </w:tcPr>
          <w:p w14:paraId="0CFF8B69">
            <w:pPr>
              <w:jc w:val="center"/>
              <w:textAlignment w:val="center"/>
              <w:rPr>
                <w:rFonts w:eastAsia="仿宋_GB2312"/>
              </w:rPr>
            </w:pPr>
            <w:r>
              <w:rPr>
                <w:rFonts w:eastAsia="仿宋_GB2312"/>
                <w:color w:val="000000"/>
                <w:lang w:bidi="ar"/>
              </w:rPr>
              <w:t>LC</w:t>
            </w:r>
          </w:p>
        </w:tc>
      </w:tr>
      <w:tr w14:paraId="095E69C2">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8538585">
            <w:pPr>
              <w:jc w:val="center"/>
              <w:rPr>
                <w:rFonts w:eastAsia="仿宋_GB2312"/>
              </w:rPr>
            </w:pPr>
            <w:r>
              <w:rPr>
                <w:rFonts w:eastAsia="仿宋_GB2312"/>
              </w:rPr>
              <w:t>47</w:t>
            </w:r>
          </w:p>
        </w:tc>
        <w:tc>
          <w:tcPr>
            <w:tcW w:w="469" w:type="pct"/>
            <w:tcBorders>
              <w:top w:val="nil"/>
              <w:left w:val="single" w:color="auto" w:sz="4" w:space="0"/>
              <w:bottom w:val="single" w:color="auto" w:sz="4" w:space="0"/>
              <w:right w:val="single" w:color="auto" w:sz="4" w:space="0"/>
            </w:tcBorders>
            <w:shd w:val="clear" w:color="auto" w:fill="auto"/>
            <w:vAlign w:val="center"/>
          </w:tcPr>
          <w:p w14:paraId="2AF8A75D">
            <w:pPr>
              <w:jc w:val="center"/>
              <w:rPr>
                <w:rFonts w:eastAsia="仿宋_GB2312"/>
              </w:rPr>
            </w:pPr>
            <w:r>
              <w:rPr>
                <w:rFonts w:eastAsia="仿宋_GB2312"/>
              </w:rPr>
              <w:t>爬行动物</w:t>
            </w:r>
          </w:p>
        </w:tc>
        <w:tc>
          <w:tcPr>
            <w:tcW w:w="607" w:type="pct"/>
            <w:tcBorders>
              <w:top w:val="nil"/>
              <w:left w:val="nil"/>
              <w:bottom w:val="single" w:color="auto" w:sz="4" w:space="0"/>
              <w:right w:val="single" w:color="auto" w:sz="4" w:space="0"/>
            </w:tcBorders>
            <w:shd w:val="clear" w:color="000000" w:fill="FFFFFF"/>
            <w:noWrap/>
            <w:vAlign w:val="center"/>
          </w:tcPr>
          <w:p w14:paraId="61ADE79B">
            <w:pPr>
              <w:jc w:val="center"/>
              <w:rPr>
                <w:rFonts w:eastAsia="仿宋_GB2312"/>
              </w:rPr>
            </w:pPr>
            <w:r>
              <w:rPr>
                <w:rFonts w:eastAsia="仿宋_GB2312"/>
                <w:lang w:bidi="ar"/>
              </w:rPr>
              <w:t>游蛇科</w:t>
            </w:r>
          </w:p>
        </w:tc>
        <w:tc>
          <w:tcPr>
            <w:tcW w:w="937" w:type="pct"/>
            <w:tcBorders>
              <w:top w:val="nil"/>
              <w:left w:val="nil"/>
              <w:bottom w:val="single" w:color="auto" w:sz="4" w:space="0"/>
              <w:right w:val="single" w:color="auto" w:sz="4" w:space="0"/>
            </w:tcBorders>
            <w:shd w:val="clear" w:color="000000" w:fill="FFFFFF"/>
            <w:noWrap/>
            <w:vAlign w:val="center"/>
          </w:tcPr>
          <w:p w14:paraId="541B5CAE">
            <w:pPr>
              <w:jc w:val="center"/>
              <w:rPr>
                <w:rFonts w:eastAsia="仿宋_GB2312"/>
              </w:rPr>
            </w:pPr>
            <w:r>
              <w:rPr>
                <w:rFonts w:eastAsia="仿宋_GB2312"/>
                <w:lang w:bidi="ar"/>
              </w:rPr>
              <w:t>乌梢蛇</w:t>
            </w:r>
          </w:p>
        </w:tc>
        <w:tc>
          <w:tcPr>
            <w:tcW w:w="1487" w:type="pct"/>
            <w:tcBorders>
              <w:top w:val="nil"/>
              <w:left w:val="nil"/>
              <w:bottom w:val="single" w:color="auto" w:sz="4" w:space="0"/>
              <w:right w:val="single" w:color="auto" w:sz="4" w:space="0"/>
            </w:tcBorders>
            <w:shd w:val="clear" w:color="000000" w:fill="FFFFFF"/>
            <w:noWrap/>
            <w:vAlign w:val="center"/>
          </w:tcPr>
          <w:p w14:paraId="7543199E">
            <w:pPr>
              <w:jc w:val="center"/>
              <w:rPr>
                <w:rFonts w:eastAsia="仿宋_GB2312"/>
                <w:i/>
                <w:iCs/>
              </w:rPr>
            </w:pPr>
            <w:r>
              <w:rPr>
                <w:rFonts w:eastAsia="仿宋_GB2312"/>
                <w:i/>
                <w:iCs/>
                <w:lang w:bidi="ar"/>
              </w:rPr>
              <w:t>Ptyas dhumnades</w:t>
            </w:r>
          </w:p>
        </w:tc>
        <w:tc>
          <w:tcPr>
            <w:tcW w:w="498" w:type="pct"/>
            <w:tcBorders>
              <w:top w:val="nil"/>
              <w:left w:val="nil"/>
              <w:bottom w:val="single" w:color="auto" w:sz="4" w:space="0"/>
              <w:right w:val="single" w:color="auto" w:sz="4" w:space="0"/>
            </w:tcBorders>
            <w:shd w:val="clear" w:color="000000" w:fill="FFFFFF"/>
            <w:noWrap/>
            <w:vAlign w:val="center"/>
          </w:tcPr>
          <w:p w14:paraId="2CE059FE">
            <w:pPr>
              <w:jc w:val="center"/>
              <w:rPr>
                <w:rFonts w:eastAsia="仿宋_GB2312"/>
              </w:rPr>
            </w:pPr>
            <w:r>
              <w:rPr>
                <w:rFonts w:eastAsia="仿宋_GB2312"/>
              </w:rPr>
              <w:t>省重点保护</w:t>
            </w:r>
          </w:p>
        </w:tc>
        <w:tc>
          <w:tcPr>
            <w:tcW w:w="647" w:type="pct"/>
            <w:tcBorders>
              <w:top w:val="nil"/>
              <w:left w:val="nil"/>
              <w:bottom w:val="single" w:color="auto" w:sz="4" w:space="0"/>
              <w:right w:val="single" w:color="auto" w:sz="4" w:space="0"/>
            </w:tcBorders>
            <w:shd w:val="clear" w:color="000000" w:fill="FFFFFF"/>
            <w:noWrap/>
            <w:vAlign w:val="center"/>
          </w:tcPr>
          <w:p w14:paraId="64F3183E">
            <w:pPr>
              <w:jc w:val="center"/>
              <w:rPr>
                <w:rFonts w:eastAsia="仿宋_GB2312"/>
              </w:rPr>
            </w:pPr>
            <w:r>
              <w:rPr>
                <w:rFonts w:eastAsia="仿宋_GB2312"/>
                <w:lang w:bidi="ar"/>
              </w:rPr>
              <w:t>VU</w:t>
            </w:r>
          </w:p>
        </w:tc>
      </w:tr>
      <w:tr w14:paraId="770FCC35">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41DD8A54">
            <w:pPr>
              <w:jc w:val="center"/>
              <w:rPr>
                <w:rFonts w:eastAsia="仿宋_GB2312"/>
              </w:rPr>
            </w:pPr>
            <w:r>
              <w:rPr>
                <w:rFonts w:eastAsia="仿宋_GB2312"/>
              </w:rPr>
              <w:t>48</w:t>
            </w:r>
          </w:p>
        </w:tc>
        <w:tc>
          <w:tcPr>
            <w:tcW w:w="469" w:type="pct"/>
            <w:tcBorders>
              <w:top w:val="nil"/>
              <w:left w:val="single" w:color="auto" w:sz="4" w:space="0"/>
              <w:bottom w:val="single" w:color="auto" w:sz="4" w:space="0"/>
              <w:right w:val="single" w:color="auto" w:sz="4" w:space="0"/>
            </w:tcBorders>
            <w:shd w:val="clear" w:color="auto" w:fill="auto"/>
            <w:vAlign w:val="center"/>
          </w:tcPr>
          <w:p w14:paraId="166B2196">
            <w:pPr>
              <w:jc w:val="center"/>
              <w:rPr>
                <w:rFonts w:eastAsia="仿宋_GB2312"/>
              </w:rPr>
            </w:pPr>
            <w:r>
              <w:rPr>
                <w:rFonts w:eastAsia="仿宋_GB2312"/>
              </w:rPr>
              <w:t>爬行动物</w:t>
            </w:r>
          </w:p>
        </w:tc>
        <w:tc>
          <w:tcPr>
            <w:tcW w:w="607" w:type="pct"/>
            <w:tcBorders>
              <w:top w:val="nil"/>
              <w:left w:val="nil"/>
              <w:bottom w:val="single" w:color="auto" w:sz="4" w:space="0"/>
              <w:right w:val="single" w:color="auto" w:sz="4" w:space="0"/>
            </w:tcBorders>
            <w:shd w:val="clear" w:color="000000" w:fill="FFFFFF"/>
            <w:noWrap/>
            <w:vAlign w:val="center"/>
          </w:tcPr>
          <w:p w14:paraId="79D2550F">
            <w:pPr>
              <w:jc w:val="center"/>
              <w:rPr>
                <w:rFonts w:eastAsia="仿宋_GB2312"/>
              </w:rPr>
            </w:pPr>
            <w:r>
              <w:rPr>
                <w:rFonts w:eastAsia="仿宋_GB2312"/>
                <w:lang w:bidi="ar"/>
              </w:rPr>
              <w:t>游蛇科</w:t>
            </w:r>
          </w:p>
        </w:tc>
        <w:tc>
          <w:tcPr>
            <w:tcW w:w="937" w:type="pct"/>
            <w:tcBorders>
              <w:top w:val="nil"/>
              <w:left w:val="nil"/>
              <w:bottom w:val="single" w:color="auto" w:sz="4" w:space="0"/>
              <w:right w:val="single" w:color="auto" w:sz="4" w:space="0"/>
            </w:tcBorders>
            <w:shd w:val="clear" w:color="000000" w:fill="FFFFFF"/>
            <w:noWrap/>
            <w:vAlign w:val="center"/>
          </w:tcPr>
          <w:p w14:paraId="2F0E25AE">
            <w:pPr>
              <w:jc w:val="center"/>
              <w:rPr>
                <w:rFonts w:eastAsia="仿宋_GB2312"/>
              </w:rPr>
            </w:pPr>
            <w:r>
              <w:rPr>
                <w:rFonts w:eastAsia="仿宋_GB2312"/>
                <w:lang w:bidi="ar"/>
              </w:rPr>
              <w:t>王锦蛇</w:t>
            </w:r>
          </w:p>
        </w:tc>
        <w:tc>
          <w:tcPr>
            <w:tcW w:w="1487" w:type="pct"/>
            <w:tcBorders>
              <w:top w:val="nil"/>
              <w:left w:val="nil"/>
              <w:bottom w:val="single" w:color="auto" w:sz="4" w:space="0"/>
              <w:right w:val="single" w:color="auto" w:sz="4" w:space="0"/>
            </w:tcBorders>
            <w:shd w:val="clear" w:color="000000" w:fill="FFFFFF"/>
            <w:noWrap/>
            <w:vAlign w:val="center"/>
          </w:tcPr>
          <w:p w14:paraId="3CD53331">
            <w:pPr>
              <w:jc w:val="center"/>
              <w:rPr>
                <w:rFonts w:eastAsia="仿宋_GB2312"/>
                <w:i/>
                <w:iCs/>
              </w:rPr>
            </w:pPr>
            <w:r>
              <w:rPr>
                <w:rFonts w:eastAsia="仿宋_GB2312"/>
                <w:i/>
                <w:iCs/>
                <w:lang w:bidi="ar"/>
              </w:rPr>
              <w:t>Elaphe carinata</w:t>
            </w:r>
          </w:p>
        </w:tc>
        <w:tc>
          <w:tcPr>
            <w:tcW w:w="498" w:type="pct"/>
            <w:tcBorders>
              <w:top w:val="nil"/>
              <w:left w:val="nil"/>
              <w:bottom w:val="single" w:color="auto" w:sz="4" w:space="0"/>
              <w:right w:val="single" w:color="auto" w:sz="4" w:space="0"/>
            </w:tcBorders>
            <w:shd w:val="clear" w:color="000000" w:fill="FFFFFF"/>
            <w:noWrap/>
            <w:vAlign w:val="center"/>
          </w:tcPr>
          <w:p w14:paraId="25896C0F">
            <w:pPr>
              <w:jc w:val="center"/>
              <w:rPr>
                <w:rFonts w:eastAsia="仿宋_GB2312"/>
              </w:rPr>
            </w:pPr>
            <w:r>
              <w:rPr>
                <w:rFonts w:eastAsia="仿宋_GB2312"/>
              </w:rPr>
              <w:t>省重点保护</w:t>
            </w:r>
          </w:p>
        </w:tc>
        <w:tc>
          <w:tcPr>
            <w:tcW w:w="647" w:type="pct"/>
            <w:tcBorders>
              <w:top w:val="nil"/>
              <w:left w:val="nil"/>
              <w:bottom w:val="single" w:color="auto" w:sz="4" w:space="0"/>
              <w:right w:val="single" w:color="auto" w:sz="4" w:space="0"/>
            </w:tcBorders>
            <w:shd w:val="clear" w:color="000000" w:fill="FFFFFF"/>
            <w:noWrap/>
            <w:vAlign w:val="center"/>
          </w:tcPr>
          <w:p w14:paraId="5F1DFB2A">
            <w:pPr>
              <w:jc w:val="center"/>
              <w:rPr>
                <w:rFonts w:eastAsia="仿宋_GB2312"/>
              </w:rPr>
            </w:pPr>
            <w:r>
              <w:rPr>
                <w:rFonts w:eastAsia="仿宋_GB2312"/>
                <w:lang w:bidi="ar"/>
              </w:rPr>
              <w:t>EN</w:t>
            </w:r>
          </w:p>
        </w:tc>
      </w:tr>
      <w:tr w14:paraId="51C8A745">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21BEED55">
            <w:pPr>
              <w:jc w:val="center"/>
              <w:rPr>
                <w:rFonts w:eastAsia="仿宋_GB2312"/>
              </w:rPr>
            </w:pPr>
            <w:r>
              <w:rPr>
                <w:rFonts w:eastAsia="仿宋_GB2312"/>
              </w:rPr>
              <w:t>49</w:t>
            </w:r>
          </w:p>
        </w:tc>
        <w:tc>
          <w:tcPr>
            <w:tcW w:w="469" w:type="pct"/>
            <w:tcBorders>
              <w:top w:val="nil"/>
              <w:left w:val="single" w:color="auto" w:sz="4" w:space="0"/>
              <w:bottom w:val="single" w:color="auto" w:sz="4" w:space="0"/>
              <w:right w:val="single" w:color="auto" w:sz="4" w:space="0"/>
            </w:tcBorders>
            <w:shd w:val="clear" w:color="auto" w:fill="auto"/>
            <w:vAlign w:val="center"/>
          </w:tcPr>
          <w:p w14:paraId="4374E559">
            <w:pPr>
              <w:jc w:val="center"/>
              <w:rPr>
                <w:rFonts w:eastAsia="仿宋_GB2312"/>
              </w:rPr>
            </w:pPr>
            <w:r>
              <w:rPr>
                <w:rFonts w:eastAsia="仿宋_GB2312"/>
              </w:rPr>
              <w:t>爬行动物</w:t>
            </w:r>
          </w:p>
        </w:tc>
        <w:tc>
          <w:tcPr>
            <w:tcW w:w="607" w:type="pct"/>
            <w:tcBorders>
              <w:top w:val="nil"/>
              <w:left w:val="nil"/>
              <w:bottom w:val="single" w:color="auto" w:sz="4" w:space="0"/>
              <w:right w:val="single" w:color="auto" w:sz="4" w:space="0"/>
            </w:tcBorders>
            <w:shd w:val="clear" w:color="000000" w:fill="FFFFFF"/>
            <w:noWrap/>
            <w:vAlign w:val="center"/>
          </w:tcPr>
          <w:p w14:paraId="56D05E1D">
            <w:pPr>
              <w:jc w:val="center"/>
              <w:rPr>
                <w:rFonts w:eastAsia="仿宋_GB2312"/>
                <w:lang w:bidi="ar"/>
              </w:rPr>
            </w:pPr>
            <w:r>
              <w:rPr>
                <w:rFonts w:eastAsia="仿宋_GB2312"/>
                <w:lang w:bidi="ar"/>
              </w:rPr>
              <w:t>蝰科</w:t>
            </w:r>
          </w:p>
        </w:tc>
        <w:tc>
          <w:tcPr>
            <w:tcW w:w="937" w:type="pct"/>
            <w:tcBorders>
              <w:top w:val="nil"/>
              <w:left w:val="nil"/>
              <w:bottom w:val="single" w:color="auto" w:sz="4" w:space="0"/>
              <w:right w:val="single" w:color="auto" w:sz="4" w:space="0"/>
            </w:tcBorders>
            <w:shd w:val="clear" w:color="000000" w:fill="FFFFFF"/>
            <w:noWrap/>
            <w:vAlign w:val="center"/>
          </w:tcPr>
          <w:p w14:paraId="4BCF969E">
            <w:pPr>
              <w:jc w:val="center"/>
              <w:rPr>
                <w:rFonts w:eastAsia="仿宋_GB2312"/>
                <w:lang w:bidi="ar"/>
              </w:rPr>
            </w:pPr>
            <w:r>
              <w:rPr>
                <w:rFonts w:eastAsia="仿宋_GB2312"/>
                <w:lang w:bidi="ar"/>
              </w:rPr>
              <w:t>短尾蝮</w:t>
            </w:r>
          </w:p>
        </w:tc>
        <w:tc>
          <w:tcPr>
            <w:tcW w:w="1487" w:type="pct"/>
            <w:tcBorders>
              <w:top w:val="nil"/>
              <w:left w:val="nil"/>
              <w:bottom w:val="single" w:color="auto" w:sz="4" w:space="0"/>
              <w:right w:val="single" w:color="auto" w:sz="4" w:space="0"/>
            </w:tcBorders>
            <w:shd w:val="clear" w:color="000000" w:fill="FFFFFF"/>
            <w:noWrap/>
            <w:vAlign w:val="center"/>
          </w:tcPr>
          <w:p w14:paraId="1DB67FAD">
            <w:pPr>
              <w:jc w:val="center"/>
              <w:rPr>
                <w:rFonts w:eastAsia="仿宋_GB2312"/>
                <w:i/>
                <w:iCs/>
                <w:lang w:bidi="ar"/>
              </w:rPr>
            </w:pPr>
            <w:r>
              <w:rPr>
                <w:rFonts w:eastAsia="仿宋_GB2312"/>
                <w:i/>
                <w:iCs/>
                <w:lang w:bidi="ar"/>
              </w:rPr>
              <w:t>Gloydius brevicaudus</w:t>
            </w:r>
          </w:p>
        </w:tc>
        <w:tc>
          <w:tcPr>
            <w:tcW w:w="498" w:type="pct"/>
            <w:tcBorders>
              <w:top w:val="nil"/>
              <w:left w:val="nil"/>
              <w:bottom w:val="single" w:color="auto" w:sz="4" w:space="0"/>
              <w:right w:val="single" w:color="auto" w:sz="4" w:space="0"/>
            </w:tcBorders>
            <w:shd w:val="clear" w:color="000000" w:fill="FFFFFF"/>
            <w:noWrap/>
            <w:vAlign w:val="center"/>
          </w:tcPr>
          <w:p w14:paraId="3A1B91E5">
            <w:pPr>
              <w:jc w:val="center"/>
              <w:rPr>
                <w:rFonts w:eastAsia="仿宋_GB2312"/>
              </w:rPr>
            </w:pPr>
            <w:r>
              <w:rPr>
                <w:rFonts w:eastAsia="仿宋_GB2312"/>
              </w:rPr>
              <w:t>省重点保护</w:t>
            </w:r>
          </w:p>
        </w:tc>
        <w:tc>
          <w:tcPr>
            <w:tcW w:w="647" w:type="pct"/>
            <w:tcBorders>
              <w:top w:val="nil"/>
              <w:left w:val="nil"/>
              <w:bottom w:val="single" w:color="auto" w:sz="4" w:space="0"/>
              <w:right w:val="single" w:color="auto" w:sz="4" w:space="0"/>
            </w:tcBorders>
            <w:shd w:val="clear" w:color="000000" w:fill="FFFFFF"/>
            <w:noWrap/>
            <w:vAlign w:val="center"/>
          </w:tcPr>
          <w:p w14:paraId="344B55A2">
            <w:pPr>
              <w:jc w:val="center"/>
              <w:rPr>
                <w:rFonts w:eastAsia="仿宋_GB2312"/>
                <w:lang w:bidi="ar"/>
              </w:rPr>
            </w:pPr>
            <w:r>
              <w:rPr>
                <w:rFonts w:eastAsia="仿宋_GB2312"/>
                <w:lang w:bidi="ar"/>
              </w:rPr>
              <w:t>NT</w:t>
            </w:r>
          </w:p>
        </w:tc>
      </w:tr>
      <w:tr w14:paraId="45A72C67">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3F22EBBB">
            <w:pPr>
              <w:jc w:val="center"/>
              <w:rPr>
                <w:rFonts w:eastAsia="仿宋_GB2312"/>
              </w:rPr>
            </w:pPr>
            <w:r>
              <w:rPr>
                <w:rFonts w:eastAsia="仿宋_GB2312"/>
              </w:rPr>
              <w:t>50</w:t>
            </w:r>
          </w:p>
        </w:tc>
        <w:tc>
          <w:tcPr>
            <w:tcW w:w="469" w:type="pct"/>
            <w:tcBorders>
              <w:top w:val="nil"/>
              <w:left w:val="single" w:color="auto" w:sz="4" w:space="0"/>
              <w:bottom w:val="single" w:color="auto" w:sz="4" w:space="0"/>
              <w:right w:val="single" w:color="auto" w:sz="4" w:space="0"/>
            </w:tcBorders>
            <w:vAlign w:val="center"/>
          </w:tcPr>
          <w:p w14:paraId="475D4E0D">
            <w:pPr>
              <w:jc w:val="center"/>
              <w:rPr>
                <w:rFonts w:eastAsia="仿宋_GB2312"/>
              </w:rPr>
            </w:pPr>
            <w:r>
              <w:rPr>
                <w:rFonts w:eastAsia="仿宋_GB2312"/>
              </w:rPr>
              <w:t>爬行动物</w:t>
            </w:r>
          </w:p>
        </w:tc>
        <w:tc>
          <w:tcPr>
            <w:tcW w:w="607" w:type="pct"/>
            <w:tcBorders>
              <w:top w:val="nil"/>
              <w:left w:val="nil"/>
              <w:bottom w:val="single" w:color="auto" w:sz="4" w:space="0"/>
              <w:right w:val="single" w:color="auto" w:sz="4" w:space="0"/>
            </w:tcBorders>
            <w:shd w:val="clear" w:color="auto" w:fill="auto"/>
            <w:noWrap/>
            <w:vAlign w:val="center"/>
          </w:tcPr>
          <w:p w14:paraId="60525724">
            <w:pPr>
              <w:jc w:val="center"/>
              <w:rPr>
                <w:rFonts w:eastAsia="仿宋_GB2312"/>
              </w:rPr>
            </w:pPr>
            <w:r>
              <w:rPr>
                <w:rFonts w:eastAsia="仿宋_GB2312"/>
                <w:lang w:bidi="ar"/>
              </w:rPr>
              <w:t>地龟科</w:t>
            </w:r>
          </w:p>
        </w:tc>
        <w:tc>
          <w:tcPr>
            <w:tcW w:w="937" w:type="pct"/>
            <w:tcBorders>
              <w:top w:val="nil"/>
              <w:left w:val="nil"/>
              <w:bottom w:val="single" w:color="auto" w:sz="4" w:space="0"/>
              <w:right w:val="single" w:color="auto" w:sz="4" w:space="0"/>
            </w:tcBorders>
            <w:shd w:val="clear" w:color="auto" w:fill="auto"/>
            <w:noWrap/>
            <w:vAlign w:val="center"/>
          </w:tcPr>
          <w:p w14:paraId="4C134D48">
            <w:pPr>
              <w:jc w:val="center"/>
              <w:rPr>
                <w:rFonts w:eastAsia="仿宋_GB2312"/>
              </w:rPr>
            </w:pPr>
            <w:r>
              <w:rPr>
                <w:rFonts w:eastAsia="仿宋_GB2312"/>
                <w:lang w:bidi="ar"/>
              </w:rPr>
              <w:t>乌龟</w:t>
            </w:r>
          </w:p>
        </w:tc>
        <w:tc>
          <w:tcPr>
            <w:tcW w:w="1487" w:type="pct"/>
            <w:tcBorders>
              <w:top w:val="nil"/>
              <w:left w:val="nil"/>
              <w:bottom w:val="single" w:color="auto" w:sz="4" w:space="0"/>
              <w:right w:val="single" w:color="auto" w:sz="4" w:space="0"/>
            </w:tcBorders>
            <w:shd w:val="clear" w:color="auto" w:fill="auto"/>
            <w:noWrap/>
            <w:vAlign w:val="center"/>
          </w:tcPr>
          <w:p w14:paraId="1CD49467">
            <w:pPr>
              <w:jc w:val="center"/>
              <w:rPr>
                <w:rFonts w:eastAsia="仿宋_GB2312"/>
                <w:i/>
                <w:iCs/>
              </w:rPr>
            </w:pPr>
            <w:r>
              <w:rPr>
                <w:rFonts w:eastAsia="仿宋_GB2312"/>
                <w:i/>
                <w:iCs/>
                <w:lang w:bidi="ar"/>
              </w:rPr>
              <w:t>Mauremys reevesii</w:t>
            </w:r>
          </w:p>
        </w:tc>
        <w:tc>
          <w:tcPr>
            <w:tcW w:w="498" w:type="pct"/>
            <w:tcBorders>
              <w:top w:val="nil"/>
              <w:left w:val="nil"/>
              <w:bottom w:val="single" w:color="auto" w:sz="4" w:space="0"/>
              <w:right w:val="single" w:color="auto" w:sz="4" w:space="0"/>
            </w:tcBorders>
            <w:shd w:val="clear" w:color="auto" w:fill="auto"/>
            <w:noWrap/>
            <w:vAlign w:val="center"/>
          </w:tcPr>
          <w:p w14:paraId="4421E013">
            <w:pPr>
              <w:jc w:val="center"/>
              <w:rPr>
                <w:rFonts w:eastAsia="仿宋_GB2312"/>
              </w:rPr>
            </w:pPr>
            <w:r>
              <w:rPr>
                <w:rFonts w:eastAsia="仿宋_GB2312"/>
              </w:rPr>
              <w:t>/</w:t>
            </w:r>
          </w:p>
        </w:tc>
        <w:tc>
          <w:tcPr>
            <w:tcW w:w="647" w:type="pct"/>
            <w:tcBorders>
              <w:top w:val="nil"/>
              <w:left w:val="nil"/>
              <w:bottom w:val="single" w:color="auto" w:sz="4" w:space="0"/>
              <w:right w:val="single" w:color="auto" w:sz="4" w:space="0"/>
            </w:tcBorders>
            <w:shd w:val="clear" w:color="auto" w:fill="auto"/>
            <w:noWrap/>
            <w:vAlign w:val="center"/>
          </w:tcPr>
          <w:p w14:paraId="286ED154">
            <w:pPr>
              <w:jc w:val="center"/>
              <w:rPr>
                <w:rFonts w:eastAsia="仿宋_GB2312"/>
              </w:rPr>
            </w:pPr>
            <w:r>
              <w:rPr>
                <w:rFonts w:eastAsia="仿宋_GB2312"/>
                <w:lang w:bidi="ar"/>
              </w:rPr>
              <w:t>EN</w:t>
            </w:r>
          </w:p>
        </w:tc>
      </w:tr>
      <w:tr w14:paraId="4767BE31">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000061B7">
            <w:pPr>
              <w:jc w:val="center"/>
              <w:rPr>
                <w:rFonts w:eastAsia="仿宋_GB2312"/>
              </w:rPr>
            </w:pPr>
            <w:r>
              <w:rPr>
                <w:rFonts w:eastAsia="仿宋_GB2312"/>
              </w:rPr>
              <w:t>51</w:t>
            </w:r>
          </w:p>
        </w:tc>
        <w:tc>
          <w:tcPr>
            <w:tcW w:w="469" w:type="pct"/>
            <w:tcBorders>
              <w:top w:val="nil"/>
              <w:left w:val="single" w:color="auto" w:sz="4" w:space="0"/>
              <w:bottom w:val="single" w:color="auto" w:sz="4" w:space="0"/>
              <w:right w:val="single" w:color="auto" w:sz="4" w:space="0"/>
            </w:tcBorders>
            <w:vAlign w:val="center"/>
          </w:tcPr>
          <w:p w14:paraId="6ADB7752">
            <w:pPr>
              <w:jc w:val="center"/>
              <w:rPr>
                <w:rFonts w:eastAsia="仿宋_GB2312"/>
              </w:rPr>
            </w:pPr>
            <w:r>
              <w:rPr>
                <w:rFonts w:eastAsia="仿宋_GB2312"/>
              </w:rPr>
              <w:t>爬行动物</w:t>
            </w:r>
          </w:p>
        </w:tc>
        <w:tc>
          <w:tcPr>
            <w:tcW w:w="607" w:type="pct"/>
            <w:tcBorders>
              <w:top w:val="nil"/>
              <w:left w:val="nil"/>
              <w:bottom w:val="single" w:color="auto" w:sz="4" w:space="0"/>
              <w:right w:val="single" w:color="auto" w:sz="4" w:space="0"/>
            </w:tcBorders>
            <w:shd w:val="clear" w:color="auto" w:fill="auto"/>
            <w:noWrap/>
            <w:vAlign w:val="center"/>
          </w:tcPr>
          <w:p w14:paraId="45BEAAC7">
            <w:pPr>
              <w:jc w:val="center"/>
              <w:rPr>
                <w:rFonts w:eastAsia="仿宋_GB2312"/>
              </w:rPr>
            </w:pPr>
            <w:r>
              <w:rPr>
                <w:rFonts w:eastAsia="仿宋_GB2312"/>
                <w:lang w:bidi="ar"/>
              </w:rPr>
              <w:t>鳖科</w:t>
            </w:r>
          </w:p>
        </w:tc>
        <w:tc>
          <w:tcPr>
            <w:tcW w:w="937" w:type="pct"/>
            <w:tcBorders>
              <w:top w:val="nil"/>
              <w:left w:val="nil"/>
              <w:bottom w:val="single" w:color="auto" w:sz="4" w:space="0"/>
              <w:right w:val="single" w:color="auto" w:sz="4" w:space="0"/>
            </w:tcBorders>
            <w:shd w:val="clear" w:color="auto" w:fill="auto"/>
            <w:noWrap/>
            <w:vAlign w:val="center"/>
          </w:tcPr>
          <w:p w14:paraId="4E1958A9">
            <w:pPr>
              <w:jc w:val="center"/>
              <w:rPr>
                <w:rFonts w:eastAsia="仿宋_GB2312"/>
              </w:rPr>
            </w:pPr>
            <w:r>
              <w:rPr>
                <w:rFonts w:eastAsia="仿宋_GB2312"/>
                <w:lang w:bidi="ar"/>
              </w:rPr>
              <w:t>中华鳖</w:t>
            </w:r>
          </w:p>
        </w:tc>
        <w:tc>
          <w:tcPr>
            <w:tcW w:w="1487" w:type="pct"/>
            <w:tcBorders>
              <w:top w:val="nil"/>
              <w:left w:val="nil"/>
              <w:bottom w:val="single" w:color="auto" w:sz="4" w:space="0"/>
              <w:right w:val="single" w:color="auto" w:sz="4" w:space="0"/>
            </w:tcBorders>
            <w:shd w:val="clear" w:color="auto" w:fill="auto"/>
            <w:noWrap/>
            <w:vAlign w:val="center"/>
          </w:tcPr>
          <w:p w14:paraId="1767B02F">
            <w:pPr>
              <w:jc w:val="center"/>
              <w:rPr>
                <w:rFonts w:eastAsia="仿宋_GB2312"/>
                <w:i/>
                <w:iCs/>
              </w:rPr>
            </w:pPr>
            <w:r>
              <w:rPr>
                <w:rFonts w:eastAsia="仿宋_GB2312"/>
                <w:i/>
                <w:iCs/>
                <w:lang w:bidi="ar"/>
              </w:rPr>
              <w:t>Pelodiscus sinensis</w:t>
            </w:r>
          </w:p>
        </w:tc>
        <w:tc>
          <w:tcPr>
            <w:tcW w:w="498" w:type="pct"/>
            <w:tcBorders>
              <w:top w:val="nil"/>
              <w:left w:val="nil"/>
              <w:bottom w:val="single" w:color="auto" w:sz="4" w:space="0"/>
              <w:right w:val="single" w:color="auto" w:sz="4" w:space="0"/>
            </w:tcBorders>
            <w:shd w:val="clear" w:color="auto" w:fill="auto"/>
            <w:noWrap/>
            <w:vAlign w:val="center"/>
          </w:tcPr>
          <w:p w14:paraId="50325428">
            <w:pPr>
              <w:jc w:val="center"/>
              <w:rPr>
                <w:rFonts w:eastAsia="仿宋_GB2312"/>
              </w:rPr>
            </w:pPr>
            <w:r>
              <w:rPr>
                <w:rFonts w:eastAsia="仿宋_GB2312"/>
              </w:rPr>
              <w:t>/</w:t>
            </w:r>
          </w:p>
        </w:tc>
        <w:tc>
          <w:tcPr>
            <w:tcW w:w="647" w:type="pct"/>
            <w:tcBorders>
              <w:top w:val="nil"/>
              <w:left w:val="nil"/>
              <w:bottom w:val="single" w:color="auto" w:sz="4" w:space="0"/>
              <w:right w:val="single" w:color="auto" w:sz="4" w:space="0"/>
            </w:tcBorders>
            <w:shd w:val="clear" w:color="auto" w:fill="auto"/>
            <w:noWrap/>
            <w:vAlign w:val="center"/>
          </w:tcPr>
          <w:p w14:paraId="2A366C78">
            <w:pPr>
              <w:jc w:val="center"/>
              <w:rPr>
                <w:rFonts w:eastAsia="仿宋_GB2312"/>
              </w:rPr>
            </w:pPr>
            <w:r>
              <w:rPr>
                <w:rFonts w:eastAsia="仿宋_GB2312"/>
                <w:lang w:bidi="ar"/>
              </w:rPr>
              <w:t>EN</w:t>
            </w:r>
          </w:p>
        </w:tc>
      </w:tr>
      <w:tr w14:paraId="0BFA9B73">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2D73C59B">
            <w:pPr>
              <w:jc w:val="center"/>
              <w:rPr>
                <w:rFonts w:eastAsia="仿宋_GB2312"/>
              </w:rPr>
            </w:pPr>
            <w:r>
              <w:rPr>
                <w:rFonts w:eastAsia="仿宋_GB2312"/>
              </w:rPr>
              <w:t>52</w:t>
            </w:r>
          </w:p>
        </w:tc>
        <w:tc>
          <w:tcPr>
            <w:tcW w:w="469" w:type="pct"/>
            <w:tcBorders>
              <w:top w:val="nil"/>
              <w:left w:val="nil"/>
              <w:bottom w:val="single" w:color="auto" w:sz="4" w:space="0"/>
              <w:right w:val="single" w:color="auto" w:sz="4" w:space="0"/>
            </w:tcBorders>
            <w:shd w:val="clear" w:color="auto" w:fill="auto"/>
            <w:noWrap/>
            <w:vAlign w:val="center"/>
          </w:tcPr>
          <w:p w14:paraId="5CB1AD40">
            <w:pPr>
              <w:jc w:val="center"/>
              <w:rPr>
                <w:rFonts w:eastAsia="仿宋_GB2312"/>
              </w:rPr>
            </w:pPr>
            <w:r>
              <w:rPr>
                <w:rFonts w:eastAsia="仿宋_GB2312"/>
              </w:rPr>
              <w:t>哺乳动物</w:t>
            </w:r>
          </w:p>
        </w:tc>
        <w:tc>
          <w:tcPr>
            <w:tcW w:w="607" w:type="pct"/>
            <w:tcBorders>
              <w:top w:val="nil"/>
              <w:left w:val="nil"/>
              <w:bottom w:val="single" w:color="auto" w:sz="4" w:space="0"/>
              <w:right w:val="single" w:color="auto" w:sz="4" w:space="0"/>
            </w:tcBorders>
            <w:shd w:val="clear" w:color="000000" w:fill="FFFFFF"/>
            <w:noWrap/>
            <w:vAlign w:val="center"/>
          </w:tcPr>
          <w:p w14:paraId="0A0803BF">
            <w:pPr>
              <w:jc w:val="center"/>
              <w:rPr>
                <w:rFonts w:eastAsia="仿宋_GB2312"/>
              </w:rPr>
            </w:pPr>
            <w:r>
              <w:rPr>
                <w:rFonts w:eastAsia="仿宋_GB2312"/>
              </w:rPr>
              <w:t>鼠海豚科</w:t>
            </w:r>
          </w:p>
        </w:tc>
        <w:tc>
          <w:tcPr>
            <w:tcW w:w="937" w:type="pct"/>
            <w:tcBorders>
              <w:top w:val="nil"/>
              <w:left w:val="nil"/>
              <w:bottom w:val="single" w:color="auto" w:sz="4" w:space="0"/>
              <w:right w:val="single" w:color="auto" w:sz="4" w:space="0"/>
            </w:tcBorders>
            <w:shd w:val="clear" w:color="000000" w:fill="FFFFFF"/>
            <w:noWrap/>
            <w:vAlign w:val="center"/>
          </w:tcPr>
          <w:p w14:paraId="3C2B38F2">
            <w:pPr>
              <w:jc w:val="center"/>
              <w:rPr>
                <w:rFonts w:eastAsia="仿宋_GB2312"/>
              </w:rPr>
            </w:pPr>
            <w:r>
              <w:rPr>
                <w:rFonts w:eastAsia="仿宋_GB2312"/>
              </w:rPr>
              <w:t>长江江豚</w:t>
            </w:r>
          </w:p>
        </w:tc>
        <w:tc>
          <w:tcPr>
            <w:tcW w:w="1487" w:type="pct"/>
            <w:tcBorders>
              <w:top w:val="nil"/>
              <w:left w:val="nil"/>
              <w:bottom w:val="single" w:color="auto" w:sz="4" w:space="0"/>
              <w:right w:val="single" w:color="auto" w:sz="4" w:space="0"/>
            </w:tcBorders>
            <w:shd w:val="clear" w:color="000000" w:fill="FFFFFF"/>
            <w:noWrap/>
            <w:vAlign w:val="center"/>
          </w:tcPr>
          <w:p w14:paraId="353C5864">
            <w:pPr>
              <w:jc w:val="center"/>
              <w:rPr>
                <w:rFonts w:eastAsia="仿宋_GB2312"/>
                <w:i/>
                <w:iCs/>
              </w:rPr>
            </w:pPr>
            <w:r>
              <w:rPr>
                <w:rFonts w:eastAsia="仿宋_GB2312"/>
                <w:i/>
                <w:iCs/>
              </w:rPr>
              <w:t>Neophocaena asiaeorientalis</w:t>
            </w:r>
          </w:p>
        </w:tc>
        <w:tc>
          <w:tcPr>
            <w:tcW w:w="498" w:type="pct"/>
            <w:tcBorders>
              <w:top w:val="nil"/>
              <w:left w:val="nil"/>
              <w:bottom w:val="single" w:color="auto" w:sz="4" w:space="0"/>
              <w:right w:val="single" w:color="auto" w:sz="4" w:space="0"/>
            </w:tcBorders>
            <w:shd w:val="clear" w:color="000000" w:fill="FFFFFF"/>
            <w:noWrap/>
            <w:vAlign w:val="center"/>
          </w:tcPr>
          <w:p w14:paraId="753ABC87">
            <w:pPr>
              <w:jc w:val="center"/>
              <w:rPr>
                <w:rFonts w:eastAsia="仿宋_GB2312"/>
              </w:rPr>
            </w:pPr>
            <w:r>
              <w:rPr>
                <w:rFonts w:eastAsia="仿宋_GB2312"/>
              </w:rPr>
              <w:t>国家一级</w:t>
            </w:r>
          </w:p>
        </w:tc>
        <w:tc>
          <w:tcPr>
            <w:tcW w:w="647" w:type="pct"/>
            <w:tcBorders>
              <w:top w:val="nil"/>
              <w:left w:val="nil"/>
              <w:bottom w:val="single" w:color="auto" w:sz="4" w:space="0"/>
              <w:right w:val="single" w:color="auto" w:sz="4" w:space="0"/>
            </w:tcBorders>
            <w:shd w:val="clear" w:color="000000" w:fill="FFFFFF"/>
            <w:vAlign w:val="center"/>
          </w:tcPr>
          <w:p w14:paraId="14EEA948">
            <w:pPr>
              <w:jc w:val="center"/>
              <w:rPr>
                <w:rFonts w:eastAsia="仿宋_GB2312"/>
              </w:rPr>
            </w:pPr>
            <w:r>
              <w:rPr>
                <w:rFonts w:eastAsia="仿宋_GB2312"/>
              </w:rPr>
              <w:t>EN</w:t>
            </w:r>
          </w:p>
        </w:tc>
      </w:tr>
      <w:tr w14:paraId="5BFB6694">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D197355">
            <w:pPr>
              <w:jc w:val="center"/>
              <w:rPr>
                <w:rFonts w:eastAsia="仿宋_GB2312"/>
              </w:rPr>
            </w:pPr>
            <w:r>
              <w:rPr>
                <w:rFonts w:eastAsia="仿宋_GB2312"/>
              </w:rPr>
              <w:t>53</w:t>
            </w:r>
          </w:p>
        </w:tc>
        <w:tc>
          <w:tcPr>
            <w:tcW w:w="469" w:type="pct"/>
            <w:tcBorders>
              <w:top w:val="nil"/>
              <w:left w:val="nil"/>
              <w:bottom w:val="single" w:color="auto" w:sz="4" w:space="0"/>
              <w:right w:val="single" w:color="auto" w:sz="4" w:space="0"/>
            </w:tcBorders>
            <w:shd w:val="clear" w:color="auto" w:fill="auto"/>
            <w:noWrap/>
            <w:vAlign w:val="center"/>
          </w:tcPr>
          <w:p w14:paraId="0C3E2E23">
            <w:pPr>
              <w:jc w:val="center"/>
              <w:rPr>
                <w:rFonts w:eastAsia="仿宋_GB2312"/>
              </w:rPr>
            </w:pPr>
            <w:r>
              <w:rPr>
                <w:rFonts w:eastAsia="仿宋_GB2312"/>
              </w:rPr>
              <w:t>哺乳动物</w:t>
            </w:r>
          </w:p>
        </w:tc>
        <w:tc>
          <w:tcPr>
            <w:tcW w:w="607" w:type="pct"/>
            <w:tcBorders>
              <w:top w:val="nil"/>
              <w:left w:val="nil"/>
              <w:bottom w:val="single" w:color="auto" w:sz="4" w:space="0"/>
              <w:right w:val="single" w:color="auto" w:sz="4" w:space="0"/>
            </w:tcBorders>
            <w:shd w:val="clear" w:color="000000" w:fill="FFFFFF"/>
            <w:noWrap/>
            <w:vAlign w:val="center"/>
          </w:tcPr>
          <w:p w14:paraId="23BF57E8">
            <w:pPr>
              <w:jc w:val="center"/>
              <w:rPr>
                <w:rFonts w:eastAsia="仿宋_GB2312"/>
              </w:rPr>
            </w:pPr>
            <w:r>
              <w:rPr>
                <w:rFonts w:eastAsia="仿宋_GB2312"/>
              </w:rPr>
              <w:t>猬科</w:t>
            </w:r>
          </w:p>
        </w:tc>
        <w:tc>
          <w:tcPr>
            <w:tcW w:w="937" w:type="pct"/>
            <w:tcBorders>
              <w:top w:val="nil"/>
              <w:left w:val="nil"/>
              <w:bottom w:val="single" w:color="auto" w:sz="4" w:space="0"/>
              <w:right w:val="single" w:color="auto" w:sz="4" w:space="0"/>
            </w:tcBorders>
            <w:shd w:val="clear" w:color="000000" w:fill="FFFFFF"/>
            <w:noWrap/>
            <w:vAlign w:val="center"/>
          </w:tcPr>
          <w:p w14:paraId="3C9F6F09">
            <w:pPr>
              <w:jc w:val="center"/>
              <w:rPr>
                <w:rFonts w:eastAsia="仿宋_GB2312"/>
              </w:rPr>
            </w:pPr>
            <w:r>
              <w:rPr>
                <w:rFonts w:eastAsia="仿宋_GB2312"/>
              </w:rPr>
              <w:t>东北刺猬</w:t>
            </w:r>
          </w:p>
        </w:tc>
        <w:tc>
          <w:tcPr>
            <w:tcW w:w="1487" w:type="pct"/>
            <w:tcBorders>
              <w:top w:val="nil"/>
              <w:left w:val="nil"/>
              <w:bottom w:val="single" w:color="auto" w:sz="4" w:space="0"/>
              <w:right w:val="single" w:color="auto" w:sz="4" w:space="0"/>
            </w:tcBorders>
            <w:shd w:val="clear" w:color="000000" w:fill="FFFFFF"/>
            <w:noWrap/>
            <w:vAlign w:val="center"/>
          </w:tcPr>
          <w:p w14:paraId="69A6139F">
            <w:pPr>
              <w:jc w:val="center"/>
              <w:rPr>
                <w:rFonts w:eastAsia="仿宋_GB2312"/>
              </w:rPr>
            </w:pPr>
            <w:r>
              <w:rPr>
                <w:rFonts w:eastAsia="仿宋_GB2312"/>
                <w:lang w:bidi="en-US"/>
              </w:rPr>
              <w:t>Erinaceus amurensi</w:t>
            </w:r>
          </w:p>
        </w:tc>
        <w:tc>
          <w:tcPr>
            <w:tcW w:w="498" w:type="pct"/>
            <w:tcBorders>
              <w:top w:val="nil"/>
              <w:left w:val="nil"/>
              <w:bottom w:val="single" w:color="auto" w:sz="4" w:space="0"/>
              <w:right w:val="single" w:color="auto" w:sz="4" w:space="0"/>
            </w:tcBorders>
            <w:shd w:val="clear" w:color="000000" w:fill="FFFFFF"/>
            <w:noWrap/>
            <w:vAlign w:val="center"/>
          </w:tcPr>
          <w:p w14:paraId="09A045A0">
            <w:pPr>
              <w:jc w:val="center"/>
              <w:rPr>
                <w:rFonts w:eastAsia="仿宋_GB2312"/>
              </w:rPr>
            </w:pPr>
            <w:r>
              <w:rPr>
                <w:rFonts w:eastAsia="仿宋_GB2312"/>
              </w:rPr>
              <w:t>省重点保护</w:t>
            </w:r>
          </w:p>
        </w:tc>
        <w:tc>
          <w:tcPr>
            <w:tcW w:w="647" w:type="pct"/>
            <w:tcBorders>
              <w:top w:val="nil"/>
              <w:left w:val="nil"/>
              <w:bottom w:val="single" w:color="auto" w:sz="4" w:space="0"/>
              <w:right w:val="single" w:color="auto" w:sz="4" w:space="0"/>
            </w:tcBorders>
            <w:shd w:val="clear" w:color="000000" w:fill="FFFFFF"/>
            <w:vAlign w:val="center"/>
          </w:tcPr>
          <w:p w14:paraId="3C5F01E6">
            <w:pPr>
              <w:jc w:val="center"/>
              <w:rPr>
                <w:rFonts w:eastAsia="仿宋_GB2312"/>
              </w:rPr>
            </w:pPr>
            <w:r>
              <w:rPr>
                <w:rFonts w:eastAsia="仿宋_GB2312"/>
              </w:rPr>
              <w:t>LC</w:t>
            </w:r>
          </w:p>
        </w:tc>
      </w:tr>
      <w:tr w14:paraId="17A17739">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66D93CED">
            <w:pPr>
              <w:jc w:val="center"/>
              <w:rPr>
                <w:rFonts w:eastAsia="仿宋_GB2312"/>
              </w:rPr>
            </w:pPr>
            <w:r>
              <w:rPr>
                <w:rFonts w:eastAsia="仿宋_GB2312"/>
              </w:rPr>
              <w:t>54</w:t>
            </w:r>
          </w:p>
        </w:tc>
        <w:tc>
          <w:tcPr>
            <w:tcW w:w="469" w:type="pct"/>
            <w:tcBorders>
              <w:top w:val="nil"/>
              <w:left w:val="nil"/>
              <w:bottom w:val="single" w:color="auto" w:sz="4" w:space="0"/>
              <w:right w:val="single" w:color="auto" w:sz="4" w:space="0"/>
            </w:tcBorders>
            <w:shd w:val="clear" w:color="auto" w:fill="auto"/>
            <w:noWrap/>
            <w:vAlign w:val="center"/>
          </w:tcPr>
          <w:p w14:paraId="0E3D86EC">
            <w:pPr>
              <w:jc w:val="center"/>
              <w:rPr>
                <w:rFonts w:eastAsia="仿宋_GB2312"/>
              </w:rPr>
            </w:pPr>
            <w:r>
              <w:rPr>
                <w:rFonts w:eastAsia="仿宋_GB2312"/>
              </w:rPr>
              <w:t>哺乳动物</w:t>
            </w:r>
          </w:p>
        </w:tc>
        <w:tc>
          <w:tcPr>
            <w:tcW w:w="607" w:type="pct"/>
            <w:tcBorders>
              <w:top w:val="nil"/>
              <w:left w:val="nil"/>
              <w:bottom w:val="single" w:color="auto" w:sz="4" w:space="0"/>
              <w:right w:val="single" w:color="auto" w:sz="4" w:space="0"/>
            </w:tcBorders>
            <w:shd w:val="clear" w:color="000000" w:fill="FFFFFF"/>
            <w:noWrap/>
            <w:vAlign w:val="center"/>
          </w:tcPr>
          <w:p w14:paraId="47EA143E">
            <w:pPr>
              <w:jc w:val="center"/>
              <w:rPr>
                <w:rFonts w:eastAsia="仿宋_GB2312"/>
              </w:rPr>
            </w:pPr>
            <w:r>
              <w:rPr>
                <w:rFonts w:eastAsia="仿宋_GB2312"/>
              </w:rPr>
              <w:t>鼬科</w:t>
            </w:r>
          </w:p>
        </w:tc>
        <w:tc>
          <w:tcPr>
            <w:tcW w:w="937" w:type="pct"/>
            <w:tcBorders>
              <w:top w:val="nil"/>
              <w:left w:val="nil"/>
              <w:bottom w:val="single" w:color="auto" w:sz="4" w:space="0"/>
              <w:right w:val="single" w:color="auto" w:sz="4" w:space="0"/>
            </w:tcBorders>
            <w:shd w:val="clear" w:color="000000" w:fill="FFFFFF"/>
            <w:noWrap/>
            <w:vAlign w:val="center"/>
          </w:tcPr>
          <w:p w14:paraId="6DED9EB3">
            <w:pPr>
              <w:jc w:val="center"/>
              <w:rPr>
                <w:rFonts w:eastAsia="仿宋_GB2312"/>
              </w:rPr>
            </w:pPr>
            <w:r>
              <w:rPr>
                <w:rFonts w:eastAsia="仿宋_GB2312"/>
              </w:rPr>
              <w:t>黄鼬</w:t>
            </w:r>
          </w:p>
        </w:tc>
        <w:tc>
          <w:tcPr>
            <w:tcW w:w="1487" w:type="pct"/>
            <w:tcBorders>
              <w:top w:val="nil"/>
              <w:left w:val="nil"/>
              <w:bottom w:val="single" w:color="auto" w:sz="4" w:space="0"/>
              <w:right w:val="single" w:color="auto" w:sz="4" w:space="0"/>
            </w:tcBorders>
            <w:shd w:val="clear" w:color="000000" w:fill="FFFFFF"/>
            <w:noWrap/>
            <w:vAlign w:val="center"/>
          </w:tcPr>
          <w:p w14:paraId="1BD767D9">
            <w:pPr>
              <w:jc w:val="center"/>
              <w:rPr>
                <w:rFonts w:eastAsia="仿宋_GB2312"/>
              </w:rPr>
            </w:pPr>
            <w:r>
              <w:rPr>
                <w:rFonts w:eastAsia="仿宋_GB2312"/>
                <w:lang w:bidi="en-US"/>
              </w:rPr>
              <w:t>Mustela sibirica</w:t>
            </w:r>
          </w:p>
        </w:tc>
        <w:tc>
          <w:tcPr>
            <w:tcW w:w="498" w:type="pct"/>
            <w:tcBorders>
              <w:top w:val="nil"/>
              <w:left w:val="nil"/>
              <w:bottom w:val="single" w:color="auto" w:sz="4" w:space="0"/>
              <w:right w:val="single" w:color="auto" w:sz="4" w:space="0"/>
            </w:tcBorders>
            <w:shd w:val="clear" w:color="000000" w:fill="FFFFFF"/>
            <w:noWrap/>
            <w:vAlign w:val="center"/>
          </w:tcPr>
          <w:p w14:paraId="22613C65">
            <w:pPr>
              <w:jc w:val="center"/>
              <w:rPr>
                <w:rFonts w:eastAsia="仿宋_GB2312"/>
              </w:rPr>
            </w:pPr>
            <w:r>
              <w:rPr>
                <w:rFonts w:eastAsia="仿宋_GB2312"/>
              </w:rPr>
              <w:t>省重点保护</w:t>
            </w:r>
          </w:p>
        </w:tc>
        <w:tc>
          <w:tcPr>
            <w:tcW w:w="647" w:type="pct"/>
            <w:tcBorders>
              <w:top w:val="nil"/>
              <w:left w:val="nil"/>
              <w:bottom w:val="single" w:color="auto" w:sz="4" w:space="0"/>
              <w:right w:val="single" w:color="auto" w:sz="4" w:space="0"/>
            </w:tcBorders>
            <w:shd w:val="clear" w:color="000000" w:fill="FFFFFF"/>
            <w:vAlign w:val="center"/>
          </w:tcPr>
          <w:p w14:paraId="281426CE">
            <w:pPr>
              <w:jc w:val="center"/>
              <w:rPr>
                <w:rFonts w:eastAsia="仿宋_GB2312"/>
              </w:rPr>
            </w:pPr>
            <w:r>
              <w:rPr>
                <w:rFonts w:eastAsia="仿宋_GB2312"/>
              </w:rPr>
              <w:t>LC</w:t>
            </w:r>
          </w:p>
        </w:tc>
      </w:tr>
      <w:tr w14:paraId="37A6CA58">
        <w:tblPrEx>
          <w:tblCellMar>
            <w:top w:w="0" w:type="dxa"/>
            <w:left w:w="108" w:type="dxa"/>
            <w:bottom w:w="0" w:type="dxa"/>
            <w:right w:w="108" w:type="dxa"/>
          </w:tblCellMar>
        </w:tblPrEx>
        <w:trPr>
          <w:trHeight w:val="594"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0810BCD7">
            <w:pPr>
              <w:jc w:val="center"/>
              <w:rPr>
                <w:rFonts w:eastAsia="仿宋_GB2312"/>
              </w:rPr>
            </w:pPr>
            <w:r>
              <w:rPr>
                <w:rFonts w:eastAsia="仿宋_GB2312"/>
              </w:rPr>
              <w:t>55</w:t>
            </w:r>
          </w:p>
        </w:tc>
        <w:tc>
          <w:tcPr>
            <w:tcW w:w="469" w:type="pct"/>
            <w:tcBorders>
              <w:top w:val="nil"/>
              <w:left w:val="nil"/>
              <w:bottom w:val="single" w:color="auto" w:sz="4" w:space="0"/>
              <w:right w:val="single" w:color="auto" w:sz="4" w:space="0"/>
            </w:tcBorders>
            <w:shd w:val="clear" w:color="auto" w:fill="auto"/>
            <w:noWrap/>
            <w:vAlign w:val="center"/>
          </w:tcPr>
          <w:p w14:paraId="6C4285F1">
            <w:pPr>
              <w:jc w:val="center"/>
              <w:rPr>
                <w:rFonts w:eastAsia="仿宋_GB2312"/>
              </w:rPr>
            </w:pPr>
            <w:r>
              <w:rPr>
                <w:rFonts w:eastAsia="仿宋_GB2312"/>
              </w:rPr>
              <w:t>昆虫</w:t>
            </w:r>
          </w:p>
        </w:tc>
        <w:tc>
          <w:tcPr>
            <w:tcW w:w="607" w:type="pct"/>
            <w:tcBorders>
              <w:top w:val="nil"/>
              <w:left w:val="nil"/>
              <w:bottom w:val="single" w:color="auto" w:sz="4" w:space="0"/>
              <w:right w:val="single" w:color="auto" w:sz="4" w:space="0"/>
            </w:tcBorders>
            <w:shd w:val="clear" w:color="000000" w:fill="FFFFFF"/>
            <w:noWrap/>
            <w:vAlign w:val="center"/>
          </w:tcPr>
          <w:p w14:paraId="0FD99F25">
            <w:pPr>
              <w:jc w:val="center"/>
              <w:rPr>
                <w:rFonts w:eastAsia="仿宋_GB2312"/>
              </w:rPr>
            </w:pPr>
            <w:r>
              <w:rPr>
                <w:rFonts w:eastAsia="仿宋_GB2312"/>
              </w:rPr>
              <w:t>扇蟌科</w:t>
            </w:r>
          </w:p>
        </w:tc>
        <w:tc>
          <w:tcPr>
            <w:tcW w:w="937" w:type="pct"/>
            <w:tcBorders>
              <w:top w:val="nil"/>
              <w:left w:val="nil"/>
              <w:bottom w:val="single" w:color="auto" w:sz="4" w:space="0"/>
              <w:right w:val="single" w:color="auto" w:sz="4" w:space="0"/>
            </w:tcBorders>
            <w:shd w:val="clear" w:color="000000" w:fill="FFFFFF"/>
            <w:noWrap/>
            <w:vAlign w:val="center"/>
          </w:tcPr>
          <w:p w14:paraId="247F9E81">
            <w:pPr>
              <w:jc w:val="center"/>
              <w:rPr>
                <w:rFonts w:eastAsia="仿宋_GB2312"/>
              </w:rPr>
            </w:pPr>
            <w:r>
              <w:rPr>
                <w:rFonts w:eastAsia="仿宋_GB2312"/>
              </w:rPr>
              <w:t>黑狭扇蟌</w:t>
            </w:r>
          </w:p>
        </w:tc>
        <w:tc>
          <w:tcPr>
            <w:tcW w:w="1487" w:type="pct"/>
            <w:tcBorders>
              <w:top w:val="nil"/>
              <w:left w:val="nil"/>
              <w:bottom w:val="single" w:color="auto" w:sz="4" w:space="0"/>
              <w:right w:val="single" w:color="auto" w:sz="4" w:space="0"/>
            </w:tcBorders>
            <w:shd w:val="clear" w:color="000000" w:fill="FFFFFF"/>
            <w:noWrap/>
            <w:vAlign w:val="center"/>
          </w:tcPr>
          <w:p w14:paraId="2401C4CE">
            <w:pPr>
              <w:jc w:val="center"/>
              <w:rPr>
                <w:rFonts w:eastAsia="仿宋_GB2312"/>
                <w:i/>
                <w:iCs/>
              </w:rPr>
            </w:pPr>
            <w:r>
              <w:rPr>
                <w:rFonts w:eastAsia="仿宋_GB2312"/>
                <w:i/>
                <w:iCs/>
              </w:rPr>
              <w:t>Pseudocopera rubripes</w:t>
            </w:r>
          </w:p>
        </w:tc>
        <w:tc>
          <w:tcPr>
            <w:tcW w:w="498" w:type="pct"/>
            <w:tcBorders>
              <w:top w:val="nil"/>
              <w:left w:val="nil"/>
              <w:bottom w:val="single" w:color="auto" w:sz="4" w:space="0"/>
              <w:right w:val="single" w:color="auto" w:sz="4" w:space="0"/>
            </w:tcBorders>
            <w:shd w:val="clear" w:color="000000" w:fill="FFFFFF"/>
            <w:noWrap/>
            <w:vAlign w:val="center"/>
          </w:tcPr>
          <w:p w14:paraId="2D93BA61">
            <w:pPr>
              <w:jc w:val="center"/>
              <w:rPr>
                <w:rFonts w:eastAsia="仿宋_GB2312"/>
              </w:rPr>
            </w:pPr>
            <w:r>
              <w:rPr>
                <w:rFonts w:eastAsia="仿宋_GB2312"/>
              </w:rPr>
              <w:t>/</w:t>
            </w:r>
          </w:p>
        </w:tc>
        <w:tc>
          <w:tcPr>
            <w:tcW w:w="647" w:type="pct"/>
            <w:tcBorders>
              <w:top w:val="nil"/>
              <w:left w:val="nil"/>
              <w:bottom w:val="single" w:color="auto" w:sz="4" w:space="0"/>
              <w:right w:val="single" w:color="auto" w:sz="4" w:space="0"/>
            </w:tcBorders>
            <w:shd w:val="clear" w:color="000000" w:fill="FFFFFF"/>
            <w:vAlign w:val="center"/>
          </w:tcPr>
          <w:p w14:paraId="489D4C69">
            <w:pPr>
              <w:jc w:val="center"/>
              <w:rPr>
                <w:rFonts w:eastAsia="仿宋_GB2312"/>
              </w:rPr>
            </w:pPr>
            <w:r>
              <w:rPr>
                <w:rFonts w:eastAsia="仿宋_GB2312"/>
              </w:rPr>
              <w:t>NT</w:t>
            </w:r>
          </w:p>
        </w:tc>
      </w:tr>
      <w:tr w14:paraId="152E68AD">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2B08B952">
            <w:pPr>
              <w:jc w:val="center"/>
              <w:rPr>
                <w:rFonts w:eastAsia="仿宋_GB2312"/>
              </w:rPr>
            </w:pPr>
            <w:r>
              <w:rPr>
                <w:rFonts w:eastAsia="仿宋_GB2312"/>
              </w:rPr>
              <w:t>56</w:t>
            </w:r>
          </w:p>
        </w:tc>
        <w:tc>
          <w:tcPr>
            <w:tcW w:w="469" w:type="pct"/>
            <w:tcBorders>
              <w:top w:val="nil"/>
              <w:left w:val="nil"/>
              <w:bottom w:val="single" w:color="auto" w:sz="4" w:space="0"/>
              <w:right w:val="single" w:color="auto" w:sz="4" w:space="0"/>
            </w:tcBorders>
            <w:shd w:val="clear" w:color="auto" w:fill="auto"/>
            <w:noWrap/>
            <w:vAlign w:val="center"/>
          </w:tcPr>
          <w:p w14:paraId="2F180D22">
            <w:pPr>
              <w:jc w:val="center"/>
              <w:rPr>
                <w:rFonts w:eastAsia="仿宋_GB2312"/>
              </w:rPr>
            </w:pPr>
            <w:r>
              <w:rPr>
                <w:rFonts w:eastAsia="仿宋_GB2312"/>
              </w:rPr>
              <w:t>昆虫</w:t>
            </w:r>
          </w:p>
        </w:tc>
        <w:tc>
          <w:tcPr>
            <w:tcW w:w="607" w:type="pct"/>
            <w:tcBorders>
              <w:top w:val="nil"/>
              <w:left w:val="nil"/>
              <w:bottom w:val="single" w:color="auto" w:sz="4" w:space="0"/>
              <w:right w:val="single" w:color="auto" w:sz="4" w:space="0"/>
            </w:tcBorders>
            <w:shd w:val="clear" w:color="000000" w:fill="FFFFFF"/>
            <w:noWrap/>
            <w:vAlign w:val="center"/>
          </w:tcPr>
          <w:p w14:paraId="0052A927">
            <w:pPr>
              <w:jc w:val="center"/>
              <w:rPr>
                <w:rFonts w:eastAsia="仿宋_GB2312"/>
              </w:rPr>
            </w:pPr>
            <w:r>
              <w:rPr>
                <w:rFonts w:eastAsia="仿宋_GB2312"/>
              </w:rPr>
              <w:t>蜜蜂科</w:t>
            </w:r>
          </w:p>
        </w:tc>
        <w:tc>
          <w:tcPr>
            <w:tcW w:w="937" w:type="pct"/>
            <w:tcBorders>
              <w:top w:val="nil"/>
              <w:left w:val="nil"/>
              <w:bottom w:val="single" w:color="auto" w:sz="4" w:space="0"/>
              <w:right w:val="single" w:color="auto" w:sz="4" w:space="0"/>
            </w:tcBorders>
            <w:shd w:val="clear" w:color="000000" w:fill="FFFFFF"/>
            <w:noWrap/>
            <w:vAlign w:val="center"/>
          </w:tcPr>
          <w:p w14:paraId="4D2F4244">
            <w:pPr>
              <w:jc w:val="center"/>
              <w:rPr>
                <w:rFonts w:eastAsia="仿宋_GB2312"/>
              </w:rPr>
            </w:pPr>
            <w:r>
              <w:rPr>
                <w:rFonts w:eastAsia="仿宋_GB2312"/>
              </w:rPr>
              <w:t>东方蜜蜂</w:t>
            </w:r>
          </w:p>
        </w:tc>
        <w:tc>
          <w:tcPr>
            <w:tcW w:w="1487" w:type="pct"/>
            <w:tcBorders>
              <w:top w:val="nil"/>
              <w:left w:val="nil"/>
              <w:bottom w:val="single" w:color="auto" w:sz="4" w:space="0"/>
              <w:right w:val="single" w:color="auto" w:sz="4" w:space="0"/>
            </w:tcBorders>
            <w:shd w:val="clear" w:color="000000" w:fill="FFFFFF"/>
            <w:noWrap/>
            <w:vAlign w:val="center"/>
          </w:tcPr>
          <w:p w14:paraId="71465BE2">
            <w:pPr>
              <w:jc w:val="center"/>
              <w:rPr>
                <w:rFonts w:eastAsia="仿宋_GB2312"/>
                <w:i/>
                <w:iCs/>
              </w:rPr>
            </w:pPr>
            <w:r>
              <w:rPr>
                <w:rFonts w:eastAsia="仿宋_GB2312"/>
                <w:i/>
                <w:iCs/>
              </w:rPr>
              <w:t>Apis cerana</w:t>
            </w:r>
          </w:p>
        </w:tc>
        <w:tc>
          <w:tcPr>
            <w:tcW w:w="498" w:type="pct"/>
            <w:tcBorders>
              <w:top w:val="nil"/>
              <w:left w:val="nil"/>
              <w:bottom w:val="single" w:color="auto" w:sz="4" w:space="0"/>
              <w:right w:val="single" w:color="auto" w:sz="4" w:space="0"/>
            </w:tcBorders>
            <w:shd w:val="clear" w:color="000000" w:fill="FFFFFF"/>
            <w:noWrap/>
            <w:vAlign w:val="center"/>
          </w:tcPr>
          <w:p w14:paraId="031B93C3">
            <w:pPr>
              <w:jc w:val="center"/>
              <w:rPr>
                <w:rFonts w:eastAsia="仿宋_GB2312"/>
              </w:rPr>
            </w:pPr>
            <w:r>
              <w:rPr>
                <w:rFonts w:eastAsia="仿宋_GB2312"/>
              </w:rPr>
              <w:t>/</w:t>
            </w:r>
          </w:p>
        </w:tc>
        <w:tc>
          <w:tcPr>
            <w:tcW w:w="647" w:type="pct"/>
            <w:tcBorders>
              <w:top w:val="nil"/>
              <w:left w:val="nil"/>
              <w:bottom w:val="single" w:color="auto" w:sz="4" w:space="0"/>
              <w:right w:val="single" w:color="auto" w:sz="4" w:space="0"/>
            </w:tcBorders>
            <w:shd w:val="clear" w:color="000000" w:fill="FFFFFF"/>
            <w:vAlign w:val="center"/>
          </w:tcPr>
          <w:p w14:paraId="59ED22AC">
            <w:pPr>
              <w:jc w:val="center"/>
              <w:rPr>
                <w:rFonts w:eastAsia="仿宋_GB2312"/>
              </w:rPr>
            </w:pPr>
            <w:r>
              <w:rPr>
                <w:rFonts w:eastAsia="仿宋_GB2312"/>
              </w:rPr>
              <w:t>LC</w:t>
            </w:r>
          </w:p>
        </w:tc>
      </w:tr>
      <w:tr w14:paraId="506F7FEB">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7200C63A">
            <w:pPr>
              <w:jc w:val="center"/>
              <w:rPr>
                <w:rFonts w:eastAsia="仿宋_GB2312"/>
              </w:rPr>
            </w:pPr>
            <w:r>
              <w:rPr>
                <w:rFonts w:eastAsia="仿宋_GB2312"/>
              </w:rPr>
              <w:t>57</w:t>
            </w:r>
          </w:p>
        </w:tc>
        <w:tc>
          <w:tcPr>
            <w:tcW w:w="469" w:type="pct"/>
            <w:tcBorders>
              <w:top w:val="nil"/>
              <w:left w:val="nil"/>
              <w:bottom w:val="single" w:color="auto" w:sz="4" w:space="0"/>
              <w:right w:val="single" w:color="auto" w:sz="4" w:space="0"/>
            </w:tcBorders>
            <w:shd w:val="clear" w:color="000000" w:fill="FFFFFF"/>
            <w:noWrap/>
            <w:vAlign w:val="center"/>
          </w:tcPr>
          <w:p w14:paraId="609C1AF3">
            <w:pPr>
              <w:jc w:val="center"/>
              <w:rPr>
                <w:rFonts w:eastAsia="仿宋_GB2312"/>
              </w:rPr>
            </w:pPr>
            <w:r>
              <w:rPr>
                <w:rFonts w:eastAsia="仿宋_GB2312"/>
              </w:rPr>
              <w:t>水生生物</w:t>
            </w:r>
          </w:p>
        </w:tc>
        <w:tc>
          <w:tcPr>
            <w:tcW w:w="607" w:type="pct"/>
            <w:tcBorders>
              <w:top w:val="nil"/>
              <w:left w:val="nil"/>
              <w:bottom w:val="single" w:color="auto" w:sz="4" w:space="0"/>
              <w:right w:val="single" w:color="auto" w:sz="4" w:space="0"/>
            </w:tcBorders>
            <w:shd w:val="clear" w:color="000000" w:fill="FFFFFF"/>
            <w:noWrap/>
            <w:vAlign w:val="center"/>
          </w:tcPr>
          <w:p w14:paraId="7D7E7DA1">
            <w:pPr>
              <w:jc w:val="center"/>
              <w:rPr>
                <w:rFonts w:eastAsia="仿宋_GB2312"/>
              </w:rPr>
            </w:pPr>
            <w:r>
              <w:rPr>
                <w:rFonts w:eastAsia="仿宋_GB2312"/>
              </w:rPr>
              <w:t>胭脂鱼科</w:t>
            </w:r>
          </w:p>
        </w:tc>
        <w:tc>
          <w:tcPr>
            <w:tcW w:w="937" w:type="pct"/>
            <w:tcBorders>
              <w:top w:val="nil"/>
              <w:left w:val="nil"/>
              <w:bottom w:val="single" w:color="auto" w:sz="4" w:space="0"/>
              <w:right w:val="single" w:color="auto" w:sz="4" w:space="0"/>
            </w:tcBorders>
            <w:shd w:val="clear" w:color="000000" w:fill="FFFFFF"/>
            <w:noWrap/>
            <w:vAlign w:val="center"/>
          </w:tcPr>
          <w:p w14:paraId="12D95153">
            <w:pPr>
              <w:jc w:val="center"/>
              <w:rPr>
                <w:rFonts w:eastAsia="仿宋_GB2312"/>
              </w:rPr>
            </w:pPr>
            <w:r>
              <w:rPr>
                <w:rFonts w:eastAsia="仿宋_GB2312"/>
              </w:rPr>
              <w:t>胭脂鱼</w:t>
            </w:r>
          </w:p>
        </w:tc>
        <w:tc>
          <w:tcPr>
            <w:tcW w:w="1487" w:type="pct"/>
            <w:tcBorders>
              <w:top w:val="nil"/>
              <w:left w:val="nil"/>
              <w:bottom w:val="single" w:color="auto" w:sz="4" w:space="0"/>
              <w:right w:val="single" w:color="auto" w:sz="4" w:space="0"/>
            </w:tcBorders>
            <w:shd w:val="clear" w:color="000000" w:fill="FFFFFF"/>
            <w:noWrap/>
            <w:vAlign w:val="center"/>
          </w:tcPr>
          <w:p w14:paraId="166E9A2F">
            <w:pPr>
              <w:jc w:val="center"/>
              <w:rPr>
                <w:rFonts w:eastAsia="仿宋_GB2312"/>
                <w:i/>
                <w:iCs/>
              </w:rPr>
            </w:pPr>
            <w:r>
              <w:rPr>
                <w:rFonts w:eastAsia="仿宋_GB2312"/>
                <w:i/>
                <w:iCs/>
              </w:rPr>
              <w:t>Myxocyprinus asiaticus</w:t>
            </w:r>
          </w:p>
        </w:tc>
        <w:tc>
          <w:tcPr>
            <w:tcW w:w="498" w:type="pct"/>
            <w:tcBorders>
              <w:top w:val="nil"/>
              <w:left w:val="nil"/>
              <w:bottom w:val="single" w:color="auto" w:sz="4" w:space="0"/>
              <w:right w:val="single" w:color="auto" w:sz="4" w:space="0"/>
            </w:tcBorders>
            <w:shd w:val="clear" w:color="000000" w:fill="FFFFFF"/>
            <w:noWrap/>
            <w:vAlign w:val="center"/>
          </w:tcPr>
          <w:p w14:paraId="60A200DF">
            <w:pPr>
              <w:jc w:val="center"/>
              <w:rPr>
                <w:rFonts w:eastAsia="仿宋_GB2312"/>
              </w:rPr>
            </w:pPr>
            <w:r>
              <w:rPr>
                <w:rFonts w:eastAsia="仿宋_GB2312"/>
              </w:rPr>
              <w:t>国家二级</w:t>
            </w:r>
          </w:p>
        </w:tc>
        <w:tc>
          <w:tcPr>
            <w:tcW w:w="647" w:type="pct"/>
            <w:tcBorders>
              <w:top w:val="nil"/>
              <w:left w:val="nil"/>
              <w:bottom w:val="single" w:color="auto" w:sz="4" w:space="0"/>
              <w:right w:val="single" w:color="auto" w:sz="4" w:space="0"/>
            </w:tcBorders>
            <w:shd w:val="clear" w:color="000000" w:fill="FFFFFF"/>
            <w:vAlign w:val="center"/>
          </w:tcPr>
          <w:p w14:paraId="23A8F970">
            <w:pPr>
              <w:jc w:val="center"/>
              <w:rPr>
                <w:rFonts w:eastAsia="仿宋_GB2312"/>
              </w:rPr>
            </w:pPr>
            <w:r>
              <w:rPr>
                <w:rFonts w:eastAsia="仿宋_GB2312"/>
              </w:rPr>
              <w:t>NE</w:t>
            </w:r>
          </w:p>
        </w:tc>
      </w:tr>
      <w:tr w14:paraId="6319CDDC">
        <w:tblPrEx>
          <w:tblCellMar>
            <w:top w:w="0" w:type="dxa"/>
            <w:left w:w="108" w:type="dxa"/>
            <w:bottom w:w="0" w:type="dxa"/>
            <w:right w:w="108" w:type="dxa"/>
          </w:tblCellMar>
        </w:tblPrEx>
        <w:trPr>
          <w:trHeight w:val="312" w:hRule="atLeast"/>
        </w:trPr>
        <w:tc>
          <w:tcPr>
            <w:tcW w:w="351" w:type="pct"/>
            <w:tcBorders>
              <w:top w:val="nil"/>
              <w:left w:val="single" w:color="auto" w:sz="4" w:space="0"/>
              <w:bottom w:val="single" w:color="auto" w:sz="4" w:space="0"/>
              <w:right w:val="single" w:color="auto" w:sz="4" w:space="0"/>
            </w:tcBorders>
            <w:shd w:val="clear" w:color="auto" w:fill="auto"/>
            <w:noWrap/>
            <w:vAlign w:val="center"/>
          </w:tcPr>
          <w:p w14:paraId="57756777">
            <w:pPr>
              <w:jc w:val="center"/>
              <w:rPr>
                <w:rFonts w:eastAsia="仿宋_GB2312"/>
              </w:rPr>
            </w:pPr>
            <w:r>
              <w:rPr>
                <w:rFonts w:eastAsia="仿宋_GB2312"/>
              </w:rPr>
              <w:t>58</w:t>
            </w:r>
          </w:p>
        </w:tc>
        <w:tc>
          <w:tcPr>
            <w:tcW w:w="469" w:type="pct"/>
            <w:tcBorders>
              <w:top w:val="nil"/>
              <w:left w:val="nil"/>
              <w:bottom w:val="single" w:color="auto" w:sz="4" w:space="0"/>
              <w:right w:val="single" w:color="auto" w:sz="4" w:space="0"/>
            </w:tcBorders>
            <w:shd w:val="clear" w:color="000000" w:fill="FFFFFF"/>
            <w:noWrap/>
            <w:vAlign w:val="center"/>
          </w:tcPr>
          <w:p w14:paraId="743BCB8A">
            <w:pPr>
              <w:jc w:val="center"/>
              <w:rPr>
                <w:rFonts w:eastAsia="仿宋_GB2312"/>
              </w:rPr>
            </w:pPr>
            <w:r>
              <w:rPr>
                <w:rFonts w:eastAsia="仿宋_GB2312"/>
              </w:rPr>
              <w:t>水生生物</w:t>
            </w:r>
          </w:p>
        </w:tc>
        <w:tc>
          <w:tcPr>
            <w:tcW w:w="607" w:type="pct"/>
            <w:tcBorders>
              <w:top w:val="nil"/>
              <w:left w:val="nil"/>
              <w:bottom w:val="single" w:color="auto" w:sz="4" w:space="0"/>
              <w:right w:val="single" w:color="auto" w:sz="4" w:space="0"/>
            </w:tcBorders>
            <w:shd w:val="clear" w:color="000000" w:fill="FFFFFF"/>
            <w:noWrap/>
            <w:vAlign w:val="center"/>
          </w:tcPr>
          <w:p w14:paraId="0D869AE1">
            <w:pPr>
              <w:jc w:val="center"/>
              <w:rPr>
                <w:rFonts w:eastAsia="仿宋_GB2312"/>
              </w:rPr>
            </w:pPr>
            <w:r>
              <w:rPr>
                <w:rFonts w:eastAsia="仿宋_GB2312"/>
              </w:rPr>
              <w:t>弓蟹科</w:t>
            </w:r>
          </w:p>
        </w:tc>
        <w:tc>
          <w:tcPr>
            <w:tcW w:w="937" w:type="pct"/>
            <w:tcBorders>
              <w:top w:val="nil"/>
              <w:left w:val="nil"/>
              <w:bottom w:val="single" w:color="auto" w:sz="4" w:space="0"/>
              <w:right w:val="single" w:color="auto" w:sz="4" w:space="0"/>
            </w:tcBorders>
            <w:shd w:val="clear" w:color="000000" w:fill="FFFFFF"/>
            <w:noWrap/>
            <w:vAlign w:val="center"/>
          </w:tcPr>
          <w:p w14:paraId="1AB14FB7">
            <w:pPr>
              <w:jc w:val="center"/>
              <w:rPr>
                <w:rFonts w:eastAsia="仿宋_GB2312"/>
              </w:rPr>
            </w:pPr>
            <w:r>
              <w:rPr>
                <w:rFonts w:eastAsia="仿宋_GB2312"/>
              </w:rPr>
              <w:t>中华绒螯蟹</w:t>
            </w:r>
          </w:p>
        </w:tc>
        <w:tc>
          <w:tcPr>
            <w:tcW w:w="1487" w:type="pct"/>
            <w:tcBorders>
              <w:top w:val="nil"/>
              <w:left w:val="nil"/>
              <w:bottom w:val="single" w:color="auto" w:sz="4" w:space="0"/>
              <w:right w:val="single" w:color="auto" w:sz="4" w:space="0"/>
            </w:tcBorders>
            <w:shd w:val="clear" w:color="000000" w:fill="FFFFFF"/>
            <w:noWrap/>
            <w:vAlign w:val="center"/>
          </w:tcPr>
          <w:p w14:paraId="7BAEAB04">
            <w:pPr>
              <w:jc w:val="center"/>
              <w:rPr>
                <w:rFonts w:eastAsia="仿宋_GB2312"/>
                <w:i/>
                <w:iCs/>
              </w:rPr>
            </w:pPr>
            <w:r>
              <w:rPr>
                <w:rFonts w:eastAsia="仿宋_GB2312"/>
                <w:i/>
                <w:iCs/>
              </w:rPr>
              <w:br w:type="textWrapping"/>
            </w:r>
            <w:r>
              <w:rPr>
                <w:rFonts w:eastAsia="仿宋_GB2312"/>
                <w:i/>
                <w:iCs/>
              </w:rPr>
              <w:t>Eriocheir sinensis</w:t>
            </w:r>
          </w:p>
        </w:tc>
        <w:tc>
          <w:tcPr>
            <w:tcW w:w="498" w:type="pct"/>
            <w:tcBorders>
              <w:top w:val="nil"/>
              <w:left w:val="nil"/>
              <w:bottom w:val="single" w:color="auto" w:sz="4" w:space="0"/>
              <w:right w:val="single" w:color="auto" w:sz="4" w:space="0"/>
            </w:tcBorders>
            <w:shd w:val="clear" w:color="000000" w:fill="FFFFFF"/>
            <w:noWrap/>
            <w:vAlign w:val="center"/>
          </w:tcPr>
          <w:p w14:paraId="18F5D96A">
            <w:pPr>
              <w:jc w:val="center"/>
              <w:rPr>
                <w:rFonts w:eastAsia="仿宋_GB2312"/>
              </w:rPr>
            </w:pPr>
            <w:r>
              <w:rPr>
                <w:rFonts w:eastAsia="仿宋_GB2312"/>
              </w:rPr>
              <w:t>/</w:t>
            </w:r>
          </w:p>
        </w:tc>
        <w:tc>
          <w:tcPr>
            <w:tcW w:w="647" w:type="pct"/>
            <w:tcBorders>
              <w:top w:val="nil"/>
              <w:left w:val="nil"/>
              <w:bottom w:val="single" w:color="auto" w:sz="4" w:space="0"/>
              <w:right w:val="single" w:color="auto" w:sz="4" w:space="0"/>
            </w:tcBorders>
            <w:shd w:val="clear" w:color="000000" w:fill="FFFFFF"/>
            <w:vAlign w:val="center"/>
          </w:tcPr>
          <w:p w14:paraId="43A7BA4B">
            <w:pPr>
              <w:jc w:val="center"/>
              <w:rPr>
                <w:rFonts w:eastAsia="仿宋_GB2312"/>
              </w:rPr>
            </w:pPr>
            <w:r>
              <w:rPr>
                <w:rFonts w:eastAsia="仿宋_GB2312"/>
              </w:rPr>
              <w:t>/</w:t>
            </w:r>
          </w:p>
        </w:tc>
      </w:tr>
    </w:tbl>
    <w:p w14:paraId="467DC85D">
      <w:pPr>
        <w:pStyle w:val="4"/>
        <w:ind w:left="0" w:firstLine="0"/>
        <w:rPr>
          <w:rFonts w:ascii="Times New Roman" w:hAnsi="Times New Roman" w:eastAsia="仿宋_GB2312"/>
        </w:rPr>
      </w:pPr>
    </w:p>
    <w:p w14:paraId="5E6EFAA3">
      <w:pPr>
        <w:spacing w:before="100" w:beforeAutospacing="1" w:after="100" w:afterAutospacing="1" w:line="360" w:lineRule="auto"/>
        <w:rPr>
          <w:rFonts w:eastAsia="仿宋_GB2312"/>
          <w:b/>
          <w:sz w:val="28"/>
          <w:szCs w:val="28"/>
        </w:rPr>
        <w:sectPr>
          <w:pgSz w:w="11906" w:h="16838"/>
          <w:pgMar w:top="1440" w:right="1800" w:bottom="1440" w:left="1800" w:header="851" w:footer="992" w:gutter="0"/>
          <w:cols w:space="425" w:num="1"/>
          <w:docGrid w:type="lines" w:linePitch="312" w:charSpace="0"/>
        </w:sectPr>
      </w:pPr>
    </w:p>
    <w:p w14:paraId="2BC030AB">
      <w:pPr>
        <w:spacing w:line="360" w:lineRule="auto"/>
        <w:outlineLvl w:val="0"/>
        <w:rPr>
          <w:rFonts w:eastAsia="仿宋_GB2312"/>
          <w:b/>
          <w:sz w:val="28"/>
          <w:szCs w:val="28"/>
        </w:rPr>
      </w:pPr>
      <w:bookmarkStart w:id="117" w:name="_Toc20166"/>
      <w:bookmarkStart w:id="118" w:name="_Toc1098"/>
      <w:r>
        <w:rPr>
          <w:rFonts w:eastAsia="仿宋_GB2312"/>
          <w:b/>
          <w:sz w:val="28"/>
          <w:szCs w:val="28"/>
        </w:rPr>
        <w:t>附图</w:t>
      </w:r>
      <w:bookmarkEnd w:id="117"/>
      <w:bookmarkEnd w:id="118"/>
    </w:p>
    <w:p w14:paraId="7B63C2AD">
      <w:pPr>
        <w:pStyle w:val="10"/>
        <w:ind w:firstLine="0"/>
        <w:jc w:val="center"/>
        <w:rPr>
          <w:rFonts w:eastAsia="仿宋_GB2312"/>
          <w:sz w:val="28"/>
        </w:rPr>
      </w:pPr>
      <w:r>
        <w:rPr>
          <w:rFonts w:eastAsia="仿宋_GB2312"/>
          <w:sz w:val="28"/>
        </w:rPr>
        <w:drawing>
          <wp:inline distT="0" distB="0" distL="114300" distR="114300">
            <wp:extent cx="6480175" cy="4585970"/>
            <wp:effectExtent l="0" t="0" r="6350" b="5080"/>
            <wp:docPr id="2" name="图片 2" descr="靖江生多规划-区位图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靖江生多规划-区位图1216"/>
                    <pic:cNvPicPr>
                      <a:picLocks noChangeAspect="1"/>
                    </pic:cNvPicPr>
                  </pic:nvPicPr>
                  <pic:blipFill>
                    <a:blip r:embed="rId5"/>
                    <a:stretch>
                      <a:fillRect/>
                    </a:stretch>
                  </pic:blipFill>
                  <pic:spPr>
                    <a:xfrm>
                      <a:off x="0" y="0"/>
                      <a:ext cx="6480175" cy="4585970"/>
                    </a:xfrm>
                    <a:prstGeom prst="rect">
                      <a:avLst/>
                    </a:prstGeom>
                  </pic:spPr>
                </pic:pic>
              </a:graphicData>
            </a:graphic>
          </wp:inline>
        </w:drawing>
      </w:r>
    </w:p>
    <w:p w14:paraId="15A70A1B">
      <w:pPr>
        <w:pStyle w:val="10"/>
        <w:ind w:firstLine="0"/>
        <w:jc w:val="center"/>
        <w:rPr>
          <w:rFonts w:eastAsia="仿宋_GB2312"/>
          <w:sz w:val="28"/>
        </w:rPr>
      </w:pPr>
      <w:r>
        <w:rPr>
          <w:rFonts w:eastAsia="仿宋_GB2312"/>
          <w:sz w:val="28"/>
        </w:rPr>
        <w:drawing>
          <wp:inline distT="0" distB="0" distL="114300" distR="114300">
            <wp:extent cx="8518525" cy="5273675"/>
            <wp:effectExtent l="0" t="0" r="6350" b="3175"/>
            <wp:docPr id="12" name="图片 12" descr="靖江生多规划-生态系统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靖江生多规划-生态系统1217-5"/>
                    <pic:cNvPicPr>
                      <a:picLocks noChangeAspect="1"/>
                    </pic:cNvPicPr>
                  </pic:nvPicPr>
                  <pic:blipFill>
                    <a:blip r:embed="rId6"/>
                    <a:stretch>
                      <a:fillRect/>
                    </a:stretch>
                  </pic:blipFill>
                  <pic:spPr>
                    <a:xfrm>
                      <a:off x="0" y="0"/>
                      <a:ext cx="8518525" cy="5273675"/>
                    </a:xfrm>
                    <a:prstGeom prst="rect">
                      <a:avLst/>
                    </a:prstGeom>
                  </pic:spPr>
                </pic:pic>
              </a:graphicData>
            </a:graphic>
          </wp:inline>
        </w:drawing>
      </w:r>
    </w:p>
    <w:p w14:paraId="62EB15D6">
      <w:pPr>
        <w:spacing w:before="100" w:beforeAutospacing="1" w:after="100" w:afterAutospacing="1" w:line="360" w:lineRule="auto"/>
        <w:rPr>
          <w:rFonts w:eastAsia="仿宋_GB2312"/>
          <w:b/>
          <w:sz w:val="28"/>
          <w:szCs w:val="28"/>
        </w:rPr>
        <w:sectPr>
          <w:pgSz w:w="16838" w:h="11906" w:orient="landscape"/>
          <w:pgMar w:top="1800" w:right="1440" w:bottom="1800" w:left="1440" w:header="851" w:footer="992" w:gutter="0"/>
          <w:cols w:space="425" w:num="1"/>
          <w:docGrid w:type="lines" w:linePitch="312" w:charSpace="0"/>
        </w:sectPr>
      </w:pPr>
      <w:r>
        <w:rPr>
          <w:rFonts w:eastAsia="仿宋_GB2312"/>
          <w:b/>
          <w:sz w:val="28"/>
          <w:szCs w:val="28"/>
        </w:rPr>
        <w:drawing>
          <wp:inline distT="0" distB="0" distL="114300" distR="114300">
            <wp:extent cx="8518525" cy="5273675"/>
            <wp:effectExtent l="0" t="0" r="6350" b="3175"/>
            <wp:docPr id="9" name="图片 9" descr="靖江生多规划-水系图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靖江生多规划-水系图1220"/>
                    <pic:cNvPicPr>
                      <a:picLocks noChangeAspect="1"/>
                    </pic:cNvPicPr>
                  </pic:nvPicPr>
                  <pic:blipFill>
                    <a:blip r:embed="rId7"/>
                    <a:stretch>
                      <a:fillRect/>
                    </a:stretch>
                  </pic:blipFill>
                  <pic:spPr>
                    <a:xfrm>
                      <a:off x="0" y="0"/>
                      <a:ext cx="8518525" cy="5273675"/>
                    </a:xfrm>
                    <a:prstGeom prst="rect">
                      <a:avLst/>
                    </a:prstGeom>
                  </pic:spPr>
                </pic:pic>
              </a:graphicData>
            </a:graphic>
          </wp:inline>
        </w:drawing>
      </w:r>
    </w:p>
    <w:p w14:paraId="771BF010">
      <w:pPr>
        <w:pStyle w:val="4"/>
        <w:ind w:left="0" w:firstLine="0"/>
        <w:jc w:val="center"/>
        <w:rPr>
          <w:rFonts w:ascii="Times New Roman" w:hAnsi="Times New Roman" w:eastAsia="仿宋_GB2312"/>
        </w:rPr>
      </w:pPr>
      <w:r>
        <w:rPr>
          <w:rFonts w:ascii="Times New Roman" w:hAnsi="Times New Roman" w:eastAsia="仿宋_GB2312"/>
        </w:rPr>
        <w:drawing>
          <wp:inline distT="0" distB="0" distL="114300" distR="114300">
            <wp:extent cx="8518525" cy="5273675"/>
            <wp:effectExtent l="0" t="0" r="6350" b="3175"/>
            <wp:docPr id="8" name="图片 8" descr="生态空间保护区域图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生态空间保护区域图1220"/>
                    <pic:cNvPicPr>
                      <a:picLocks noChangeAspect="1"/>
                    </pic:cNvPicPr>
                  </pic:nvPicPr>
                  <pic:blipFill>
                    <a:blip r:embed="rId8"/>
                    <a:stretch>
                      <a:fillRect/>
                    </a:stretch>
                  </pic:blipFill>
                  <pic:spPr>
                    <a:xfrm>
                      <a:off x="0" y="0"/>
                      <a:ext cx="8518525" cy="5273675"/>
                    </a:xfrm>
                    <a:prstGeom prst="rect">
                      <a:avLst/>
                    </a:prstGeom>
                  </pic:spPr>
                </pic:pic>
              </a:graphicData>
            </a:graphic>
          </wp:inline>
        </w:drawing>
      </w:r>
    </w:p>
    <w:p w14:paraId="37B203D9">
      <w:pPr>
        <w:pStyle w:val="4"/>
        <w:ind w:left="0" w:firstLine="0"/>
        <w:jc w:val="center"/>
        <w:rPr>
          <w:rFonts w:ascii="Times New Roman" w:hAnsi="Times New Roman" w:eastAsia="仿宋_GB2312"/>
        </w:rPr>
      </w:pPr>
      <w:r>
        <w:rPr>
          <w:rFonts w:ascii="Times New Roman" w:hAnsi="Times New Roman" w:eastAsia="仿宋_GB2312"/>
        </w:rPr>
        <w:drawing>
          <wp:inline distT="0" distB="0" distL="114300" distR="114300">
            <wp:extent cx="8483600" cy="5248275"/>
            <wp:effectExtent l="0" t="0" r="3175" b="0"/>
            <wp:docPr id="1" name="图片 1" descr="空间格局图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空间格局图1220"/>
                    <pic:cNvPicPr>
                      <a:picLocks noChangeAspect="1"/>
                    </pic:cNvPicPr>
                  </pic:nvPicPr>
                  <pic:blipFill>
                    <a:blip r:embed="rId9"/>
                    <a:stretch>
                      <a:fillRect/>
                    </a:stretch>
                  </pic:blipFill>
                  <pic:spPr>
                    <a:xfrm>
                      <a:off x="0" y="0"/>
                      <a:ext cx="8483600" cy="5248275"/>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wiss"/>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8229538"/>
    </w:sdtPr>
    <w:sdtContent>
      <w:p w14:paraId="2C98CD1B">
        <w:pPr>
          <w:pStyle w:val="7"/>
          <w:jc w:val="center"/>
        </w:pPr>
        <w:r>
          <w:fldChar w:fldCharType="begin"/>
        </w:r>
        <w:r>
          <w:instrText xml:space="preserve">PAGE   \* MERGEFORMAT</w:instrText>
        </w:r>
        <w:r>
          <w:fldChar w:fldCharType="separate"/>
        </w:r>
        <w:r>
          <w:rPr>
            <w:lang w:val="zh-CN"/>
          </w:rPr>
          <w:t>48</w:t>
        </w:r>
        <w:r>
          <w:fldChar w:fldCharType="end"/>
        </w:r>
      </w:p>
    </w:sdtContent>
  </w:sdt>
  <w:p w14:paraId="4E03E3F4">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24935"/>
    <w:multiLevelType w:val="singleLevel"/>
    <w:tmpl w:val="8E624935"/>
    <w:lvl w:ilvl="0" w:tentative="0">
      <w:start w:val="2"/>
      <w:numFmt w:val="decimal"/>
      <w:suff w:val="space"/>
      <w:lvlText w:val="%1."/>
      <w:lvlJc w:val="left"/>
    </w:lvl>
  </w:abstractNum>
  <w:abstractNum w:abstractNumId="1">
    <w:nsid w:val="AD44206B"/>
    <w:multiLevelType w:val="singleLevel"/>
    <w:tmpl w:val="AD44206B"/>
    <w:lvl w:ilvl="0" w:tentative="0">
      <w:start w:val="3"/>
      <w:numFmt w:val="decimal"/>
      <w:suff w:val="space"/>
      <w:lvlText w:val="%1."/>
      <w:lvlJc w:val="left"/>
    </w:lvl>
  </w:abstractNum>
  <w:abstractNum w:abstractNumId="2">
    <w:nsid w:val="EE21620C"/>
    <w:multiLevelType w:val="singleLevel"/>
    <w:tmpl w:val="EE21620C"/>
    <w:lvl w:ilvl="0" w:tentative="0">
      <w:start w:val="2"/>
      <w:numFmt w:val="decimal"/>
      <w:suff w:val="space"/>
      <w:lvlText w:val="%1."/>
      <w:lvlJc w:val="left"/>
    </w:lvl>
  </w:abstractNum>
  <w:abstractNum w:abstractNumId="3">
    <w:nsid w:val="0D3D9556"/>
    <w:multiLevelType w:val="singleLevel"/>
    <w:tmpl w:val="0D3D9556"/>
    <w:lvl w:ilvl="0" w:tentative="0">
      <w:start w:val="1"/>
      <w:numFmt w:val="decimal"/>
      <w:suff w:val="nothing"/>
      <w:lvlText w:val="%1．"/>
      <w:lvlJc w:val="left"/>
      <w:pPr>
        <w:ind w:left="0" w:firstLine="400"/>
      </w:pPr>
      <w:rPr>
        <w:rFonts w:hint="default"/>
      </w:rPr>
    </w:lvl>
  </w:abstractNum>
  <w:abstractNum w:abstractNumId="4">
    <w:nsid w:val="1EEEA318"/>
    <w:multiLevelType w:val="singleLevel"/>
    <w:tmpl w:val="1EEEA318"/>
    <w:lvl w:ilvl="0" w:tentative="0">
      <w:start w:val="2"/>
      <w:numFmt w:val="decimal"/>
      <w:suff w:val="space"/>
      <w:lvlText w:val="%1."/>
      <w:lvlJc w:val="left"/>
    </w:lvl>
  </w:abstractNum>
  <w:abstractNum w:abstractNumId="5">
    <w:nsid w:val="2E6E7AD7"/>
    <w:multiLevelType w:val="singleLevel"/>
    <w:tmpl w:val="2E6E7AD7"/>
    <w:lvl w:ilvl="0" w:tentative="0">
      <w:start w:val="2"/>
      <w:numFmt w:val="decimal"/>
      <w:suff w:val="space"/>
      <w:lvlText w:val="%1."/>
      <w:lvlJc w:val="left"/>
    </w:lvl>
  </w:abstractNum>
  <w:abstractNum w:abstractNumId="6">
    <w:nsid w:val="47FB637B"/>
    <w:multiLevelType w:val="singleLevel"/>
    <w:tmpl w:val="47FB637B"/>
    <w:lvl w:ilvl="0" w:tentative="0">
      <w:start w:val="3"/>
      <w:numFmt w:val="decimal"/>
      <w:suff w:val="space"/>
      <w:lvlText w:val="%1."/>
      <w:lvlJc w:val="left"/>
    </w:lvl>
  </w:abstractNum>
  <w:abstractNum w:abstractNumId="7">
    <w:nsid w:val="4D277655"/>
    <w:multiLevelType w:val="singleLevel"/>
    <w:tmpl w:val="4D277655"/>
    <w:lvl w:ilvl="0" w:tentative="0">
      <w:start w:val="2"/>
      <w:numFmt w:val="decimal"/>
      <w:suff w:val="space"/>
      <w:lvlText w:val="%1."/>
      <w:lvlJc w:val="left"/>
    </w:lvl>
  </w:abstractNum>
  <w:num w:numId="1">
    <w:abstractNumId w:val="3"/>
  </w:num>
  <w:num w:numId="2">
    <w:abstractNumId w:val="1"/>
  </w:num>
  <w:num w:numId="3">
    <w:abstractNumId w:val="4"/>
  </w:num>
  <w:num w:numId="4">
    <w:abstractNumId w:val="2"/>
  </w:num>
  <w:num w:numId="5">
    <w:abstractNumId w:val="0"/>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lNzI1NjUyNDZmMDhkYmUzNTM0ODhmYjdiMmE4YjcifQ=="/>
  </w:docVars>
  <w:rsids>
    <w:rsidRoot w:val="75A769E8"/>
    <w:rsid w:val="00013BFD"/>
    <w:rsid w:val="00037CE9"/>
    <w:rsid w:val="000605CC"/>
    <w:rsid w:val="00061899"/>
    <w:rsid w:val="00065A87"/>
    <w:rsid w:val="000964C2"/>
    <w:rsid w:val="000A5C62"/>
    <w:rsid w:val="000E39DD"/>
    <w:rsid w:val="000F2F91"/>
    <w:rsid w:val="000F4092"/>
    <w:rsid w:val="001172AA"/>
    <w:rsid w:val="00135EF3"/>
    <w:rsid w:val="00136F31"/>
    <w:rsid w:val="0014526B"/>
    <w:rsid w:val="001622CB"/>
    <w:rsid w:val="00164897"/>
    <w:rsid w:val="0016596C"/>
    <w:rsid w:val="001B3E02"/>
    <w:rsid w:val="001C22F6"/>
    <w:rsid w:val="001F3A74"/>
    <w:rsid w:val="00214B8A"/>
    <w:rsid w:val="002262FE"/>
    <w:rsid w:val="00237542"/>
    <w:rsid w:val="00240485"/>
    <w:rsid w:val="00271F7B"/>
    <w:rsid w:val="00276777"/>
    <w:rsid w:val="00296707"/>
    <w:rsid w:val="002B1C6B"/>
    <w:rsid w:val="002B21EA"/>
    <w:rsid w:val="002C2B54"/>
    <w:rsid w:val="002D6AC2"/>
    <w:rsid w:val="002D7338"/>
    <w:rsid w:val="002F3F25"/>
    <w:rsid w:val="003146A5"/>
    <w:rsid w:val="00322CE6"/>
    <w:rsid w:val="00325B58"/>
    <w:rsid w:val="00335033"/>
    <w:rsid w:val="0034197F"/>
    <w:rsid w:val="0034643E"/>
    <w:rsid w:val="003624A5"/>
    <w:rsid w:val="0037074D"/>
    <w:rsid w:val="00375546"/>
    <w:rsid w:val="003C26AA"/>
    <w:rsid w:val="003C54E4"/>
    <w:rsid w:val="003D52E3"/>
    <w:rsid w:val="003E762F"/>
    <w:rsid w:val="004138FF"/>
    <w:rsid w:val="00437340"/>
    <w:rsid w:val="00440A0C"/>
    <w:rsid w:val="0044249A"/>
    <w:rsid w:val="0045664E"/>
    <w:rsid w:val="0048746F"/>
    <w:rsid w:val="004930FE"/>
    <w:rsid w:val="004956E2"/>
    <w:rsid w:val="004A6B07"/>
    <w:rsid w:val="004B6091"/>
    <w:rsid w:val="004D5218"/>
    <w:rsid w:val="004D6BCB"/>
    <w:rsid w:val="00501D11"/>
    <w:rsid w:val="00521C1A"/>
    <w:rsid w:val="00533AAC"/>
    <w:rsid w:val="00550E02"/>
    <w:rsid w:val="00551E81"/>
    <w:rsid w:val="005662D5"/>
    <w:rsid w:val="005774E7"/>
    <w:rsid w:val="005B109C"/>
    <w:rsid w:val="005D0632"/>
    <w:rsid w:val="005D6000"/>
    <w:rsid w:val="00615FF6"/>
    <w:rsid w:val="00617C7E"/>
    <w:rsid w:val="00643E0E"/>
    <w:rsid w:val="006628B5"/>
    <w:rsid w:val="00662901"/>
    <w:rsid w:val="00666D44"/>
    <w:rsid w:val="00666DBB"/>
    <w:rsid w:val="006813E8"/>
    <w:rsid w:val="006A03D1"/>
    <w:rsid w:val="006E0323"/>
    <w:rsid w:val="006E5692"/>
    <w:rsid w:val="006F5D20"/>
    <w:rsid w:val="00722E95"/>
    <w:rsid w:val="00734EC9"/>
    <w:rsid w:val="00735BE0"/>
    <w:rsid w:val="007451D8"/>
    <w:rsid w:val="00756C93"/>
    <w:rsid w:val="00773F78"/>
    <w:rsid w:val="00785BB5"/>
    <w:rsid w:val="00786432"/>
    <w:rsid w:val="0079758A"/>
    <w:rsid w:val="007A4181"/>
    <w:rsid w:val="007A5973"/>
    <w:rsid w:val="007B440F"/>
    <w:rsid w:val="007D5E67"/>
    <w:rsid w:val="007E27E5"/>
    <w:rsid w:val="007E5A0B"/>
    <w:rsid w:val="007E6997"/>
    <w:rsid w:val="007F7E74"/>
    <w:rsid w:val="00803C33"/>
    <w:rsid w:val="00835F06"/>
    <w:rsid w:val="00840B52"/>
    <w:rsid w:val="00865365"/>
    <w:rsid w:val="00877A99"/>
    <w:rsid w:val="008844EB"/>
    <w:rsid w:val="00890881"/>
    <w:rsid w:val="008976C2"/>
    <w:rsid w:val="008D63FE"/>
    <w:rsid w:val="008D6D79"/>
    <w:rsid w:val="0091055F"/>
    <w:rsid w:val="009165BB"/>
    <w:rsid w:val="00926D98"/>
    <w:rsid w:val="00926F03"/>
    <w:rsid w:val="00944D7C"/>
    <w:rsid w:val="009745F7"/>
    <w:rsid w:val="00982344"/>
    <w:rsid w:val="0098254F"/>
    <w:rsid w:val="00983229"/>
    <w:rsid w:val="00983D7E"/>
    <w:rsid w:val="00A11B9B"/>
    <w:rsid w:val="00A20A47"/>
    <w:rsid w:val="00A23BE9"/>
    <w:rsid w:val="00A32740"/>
    <w:rsid w:val="00A32F0F"/>
    <w:rsid w:val="00A344F4"/>
    <w:rsid w:val="00A43531"/>
    <w:rsid w:val="00A65A50"/>
    <w:rsid w:val="00A705DB"/>
    <w:rsid w:val="00A9066F"/>
    <w:rsid w:val="00A91EA5"/>
    <w:rsid w:val="00AC087A"/>
    <w:rsid w:val="00AC5A91"/>
    <w:rsid w:val="00AD38E6"/>
    <w:rsid w:val="00AE7F9D"/>
    <w:rsid w:val="00B1320C"/>
    <w:rsid w:val="00B17553"/>
    <w:rsid w:val="00B4079D"/>
    <w:rsid w:val="00B926DF"/>
    <w:rsid w:val="00B9403F"/>
    <w:rsid w:val="00BB30A0"/>
    <w:rsid w:val="00BC4B24"/>
    <w:rsid w:val="00BD5979"/>
    <w:rsid w:val="00BF6D62"/>
    <w:rsid w:val="00C01F50"/>
    <w:rsid w:val="00C04500"/>
    <w:rsid w:val="00C25E46"/>
    <w:rsid w:val="00C40F31"/>
    <w:rsid w:val="00C451D8"/>
    <w:rsid w:val="00C52A67"/>
    <w:rsid w:val="00C62317"/>
    <w:rsid w:val="00C85785"/>
    <w:rsid w:val="00C941FE"/>
    <w:rsid w:val="00CA7657"/>
    <w:rsid w:val="00CD0601"/>
    <w:rsid w:val="00CD6351"/>
    <w:rsid w:val="00CD74CF"/>
    <w:rsid w:val="00CE3FE3"/>
    <w:rsid w:val="00CF4ED7"/>
    <w:rsid w:val="00D02CE3"/>
    <w:rsid w:val="00D12146"/>
    <w:rsid w:val="00D30B0E"/>
    <w:rsid w:val="00D41311"/>
    <w:rsid w:val="00D50C3A"/>
    <w:rsid w:val="00D863CC"/>
    <w:rsid w:val="00DB15FA"/>
    <w:rsid w:val="00DB33C0"/>
    <w:rsid w:val="00DB6392"/>
    <w:rsid w:val="00E119E3"/>
    <w:rsid w:val="00E1543D"/>
    <w:rsid w:val="00E21F18"/>
    <w:rsid w:val="00E221DE"/>
    <w:rsid w:val="00E2641C"/>
    <w:rsid w:val="00E62E8E"/>
    <w:rsid w:val="00EA2F7D"/>
    <w:rsid w:val="00EB7050"/>
    <w:rsid w:val="00EC586A"/>
    <w:rsid w:val="00EE786E"/>
    <w:rsid w:val="00EF0012"/>
    <w:rsid w:val="00EF6E27"/>
    <w:rsid w:val="00F049C0"/>
    <w:rsid w:val="00F06686"/>
    <w:rsid w:val="00F20656"/>
    <w:rsid w:val="00F26217"/>
    <w:rsid w:val="00F35E88"/>
    <w:rsid w:val="00F67587"/>
    <w:rsid w:val="00F750E4"/>
    <w:rsid w:val="00FB4900"/>
    <w:rsid w:val="012032A1"/>
    <w:rsid w:val="01303AC5"/>
    <w:rsid w:val="013E7A1C"/>
    <w:rsid w:val="014B7249"/>
    <w:rsid w:val="015B3DD7"/>
    <w:rsid w:val="01871664"/>
    <w:rsid w:val="018F4C90"/>
    <w:rsid w:val="01AF77D5"/>
    <w:rsid w:val="01C95096"/>
    <w:rsid w:val="020C74BE"/>
    <w:rsid w:val="021135C9"/>
    <w:rsid w:val="02282F32"/>
    <w:rsid w:val="024018D4"/>
    <w:rsid w:val="024544B5"/>
    <w:rsid w:val="026F3627"/>
    <w:rsid w:val="02B50726"/>
    <w:rsid w:val="0317601D"/>
    <w:rsid w:val="031C1B80"/>
    <w:rsid w:val="0357087C"/>
    <w:rsid w:val="037324E6"/>
    <w:rsid w:val="039667A9"/>
    <w:rsid w:val="0399023E"/>
    <w:rsid w:val="03D746CC"/>
    <w:rsid w:val="03EC51DC"/>
    <w:rsid w:val="03F139E0"/>
    <w:rsid w:val="041077B9"/>
    <w:rsid w:val="04312700"/>
    <w:rsid w:val="043A5387"/>
    <w:rsid w:val="04633778"/>
    <w:rsid w:val="04700DDD"/>
    <w:rsid w:val="04CC07D1"/>
    <w:rsid w:val="04D30878"/>
    <w:rsid w:val="050576BB"/>
    <w:rsid w:val="052034FF"/>
    <w:rsid w:val="057F1BD1"/>
    <w:rsid w:val="05A7228E"/>
    <w:rsid w:val="05E85477"/>
    <w:rsid w:val="063D75D6"/>
    <w:rsid w:val="067C2033"/>
    <w:rsid w:val="069703BA"/>
    <w:rsid w:val="069E605E"/>
    <w:rsid w:val="06C24AFE"/>
    <w:rsid w:val="06C62F02"/>
    <w:rsid w:val="070D485F"/>
    <w:rsid w:val="0728100B"/>
    <w:rsid w:val="07846919"/>
    <w:rsid w:val="07E42EC2"/>
    <w:rsid w:val="086C395F"/>
    <w:rsid w:val="089256F1"/>
    <w:rsid w:val="08A76701"/>
    <w:rsid w:val="08CB73BA"/>
    <w:rsid w:val="08E04023"/>
    <w:rsid w:val="091D7025"/>
    <w:rsid w:val="09B5725D"/>
    <w:rsid w:val="09BE4364"/>
    <w:rsid w:val="09C902E2"/>
    <w:rsid w:val="0A2D3298"/>
    <w:rsid w:val="0A6D6CBE"/>
    <w:rsid w:val="0A774431"/>
    <w:rsid w:val="0AC838E3"/>
    <w:rsid w:val="0B105B50"/>
    <w:rsid w:val="0B6851C5"/>
    <w:rsid w:val="0C4035CE"/>
    <w:rsid w:val="0C705AD7"/>
    <w:rsid w:val="0C841641"/>
    <w:rsid w:val="0C922E8C"/>
    <w:rsid w:val="0D0D2112"/>
    <w:rsid w:val="0D674D12"/>
    <w:rsid w:val="0D7F205C"/>
    <w:rsid w:val="0DA34DC9"/>
    <w:rsid w:val="0DB937C0"/>
    <w:rsid w:val="0DCE7B96"/>
    <w:rsid w:val="0DD8485F"/>
    <w:rsid w:val="0E0A1289"/>
    <w:rsid w:val="0E353E7B"/>
    <w:rsid w:val="0E3C2E47"/>
    <w:rsid w:val="0E614FA9"/>
    <w:rsid w:val="0EB804DC"/>
    <w:rsid w:val="0EBD2416"/>
    <w:rsid w:val="0EC95C85"/>
    <w:rsid w:val="0EEE4E31"/>
    <w:rsid w:val="0EF62394"/>
    <w:rsid w:val="0F0263AE"/>
    <w:rsid w:val="0F205179"/>
    <w:rsid w:val="0F2D7E1E"/>
    <w:rsid w:val="0F482A1D"/>
    <w:rsid w:val="0F553EA9"/>
    <w:rsid w:val="0F721F52"/>
    <w:rsid w:val="0F893762"/>
    <w:rsid w:val="10174821"/>
    <w:rsid w:val="10906B5B"/>
    <w:rsid w:val="10DB4392"/>
    <w:rsid w:val="111C6BAA"/>
    <w:rsid w:val="1144605D"/>
    <w:rsid w:val="11800E8D"/>
    <w:rsid w:val="118B126B"/>
    <w:rsid w:val="118E1E0F"/>
    <w:rsid w:val="11AA18A5"/>
    <w:rsid w:val="11BA37C9"/>
    <w:rsid w:val="11BD6AB9"/>
    <w:rsid w:val="11D45394"/>
    <w:rsid w:val="11EB6D48"/>
    <w:rsid w:val="11EC7608"/>
    <w:rsid w:val="11F17E97"/>
    <w:rsid w:val="122340C7"/>
    <w:rsid w:val="126643A9"/>
    <w:rsid w:val="12764988"/>
    <w:rsid w:val="12810624"/>
    <w:rsid w:val="12850115"/>
    <w:rsid w:val="13821BB6"/>
    <w:rsid w:val="13AA5959"/>
    <w:rsid w:val="13D1277D"/>
    <w:rsid w:val="140966A9"/>
    <w:rsid w:val="14357D93"/>
    <w:rsid w:val="14601523"/>
    <w:rsid w:val="14633CE8"/>
    <w:rsid w:val="147601A4"/>
    <w:rsid w:val="15374B74"/>
    <w:rsid w:val="163D3673"/>
    <w:rsid w:val="16571DC8"/>
    <w:rsid w:val="16C72F84"/>
    <w:rsid w:val="17045198"/>
    <w:rsid w:val="17374497"/>
    <w:rsid w:val="17AF79E2"/>
    <w:rsid w:val="17B32821"/>
    <w:rsid w:val="17E0500F"/>
    <w:rsid w:val="17FD083F"/>
    <w:rsid w:val="183E13B2"/>
    <w:rsid w:val="189649E2"/>
    <w:rsid w:val="18CE03A8"/>
    <w:rsid w:val="18CF50E8"/>
    <w:rsid w:val="18E94D58"/>
    <w:rsid w:val="18EB6591"/>
    <w:rsid w:val="18F41B50"/>
    <w:rsid w:val="18FC0AFE"/>
    <w:rsid w:val="192E4DB6"/>
    <w:rsid w:val="19722A75"/>
    <w:rsid w:val="197C6786"/>
    <w:rsid w:val="199A7600"/>
    <w:rsid w:val="19A30E80"/>
    <w:rsid w:val="19BF3CDD"/>
    <w:rsid w:val="19E805B2"/>
    <w:rsid w:val="19E80F89"/>
    <w:rsid w:val="19F817DA"/>
    <w:rsid w:val="1A0E55F4"/>
    <w:rsid w:val="1A494CA3"/>
    <w:rsid w:val="1A654388"/>
    <w:rsid w:val="1AAE5D2F"/>
    <w:rsid w:val="1AC13CB4"/>
    <w:rsid w:val="1AD86B04"/>
    <w:rsid w:val="1B001990"/>
    <w:rsid w:val="1B3A5814"/>
    <w:rsid w:val="1B903EDF"/>
    <w:rsid w:val="1B99293E"/>
    <w:rsid w:val="1BA86C22"/>
    <w:rsid w:val="1BF12377"/>
    <w:rsid w:val="1C95476D"/>
    <w:rsid w:val="1CA668CE"/>
    <w:rsid w:val="1CE1672D"/>
    <w:rsid w:val="1D2831D6"/>
    <w:rsid w:val="1D5A596C"/>
    <w:rsid w:val="1D8219AD"/>
    <w:rsid w:val="1DC67489"/>
    <w:rsid w:val="1DDC27DB"/>
    <w:rsid w:val="1E0A7720"/>
    <w:rsid w:val="1E1569CB"/>
    <w:rsid w:val="1E206DD9"/>
    <w:rsid w:val="1E2928BC"/>
    <w:rsid w:val="1E631282"/>
    <w:rsid w:val="1E6B244F"/>
    <w:rsid w:val="1E7C51E1"/>
    <w:rsid w:val="1E903F5D"/>
    <w:rsid w:val="1EAE721D"/>
    <w:rsid w:val="1F226C0A"/>
    <w:rsid w:val="1F501EC6"/>
    <w:rsid w:val="1FA56471"/>
    <w:rsid w:val="1FC14756"/>
    <w:rsid w:val="1FC227B3"/>
    <w:rsid w:val="1FC5442F"/>
    <w:rsid w:val="1FCD4EA9"/>
    <w:rsid w:val="1FEE7F9A"/>
    <w:rsid w:val="1FF46A26"/>
    <w:rsid w:val="1FF604D0"/>
    <w:rsid w:val="20F60683"/>
    <w:rsid w:val="21157114"/>
    <w:rsid w:val="215D04AF"/>
    <w:rsid w:val="21635AC5"/>
    <w:rsid w:val="21BE2CFB"/>
    <w:rsid w:val="21E879A9"/>
    <w:rsid w:val="220E54A3"/>
    <w:rsid w:val="227C4964"/>
    <w:rsid w:val="228445F3"/>
    <w:rsid w:val="22976791"/>
    <w:rsid w:val="22FA1A21"/>
    <w:rsid w:val="2309148C"/>
    <w:rsid w:val="23104F57"/>
    <w:rsid w:val="231E7D87"/>
    <w:rsid w:val="232759C6"/>
    <w:rsid w:val="23370E37"/>
    <w:rsid w:val="2355067C"/>
    <w:rsid w:val="23602905"/>
    <w:rsid w:val="23B5012E"/>
    <w:rsid w:val="23BA1BE8"/>
    <w:rsid w:val="23C25D5F"/>
    <w:rsid w:val="23D3133D"/>
    <w:rsid w:val="23EF5D07"/>
    <w:rsid w:val="240267C1"/>
    <w:rsid w:val="240810BB"/>
    <w:rsid w:val="241267BD"/>
    <w:rsid w:val="247B1FE6"/>
    <w:rsid w:val="24931F5C"/>
    <w:rsid w:val="24B30C19"/>
    <w:rsid w:val="24C37DFD"/>
    <w:rsid w:val="252106AA"/>
    <w:rsid w:val="2540762F"/>
    <w:rsid w:val="25D607AC"/>
    <w:rsid w:val="25D61DF4"/>
    <w:rsid w:val="25EC22B9"/>
    <w:rsid w:val="260D7DB1"/>
    <w:rsid w:val="264E03C6"/>
    <w:rsid w:val="26564563"/>
    <w:rsid w:val="26A30712"/>
    <w:rsid w:val="26B07C77"/>
    <w:rsid w:val="26CA3EF0"/>
    <w:rsid w:val="26D86478"/>
    <w:rsid w:val="26F86CAF"/>
    <w:rsid w:val="27033AA6"/>
    <w:rsid w:val="272A4F73"/>
    <w:rsid w:val="272D63B1"/>
    <w:rsid w:val="27653C19"/>
    <w:rsid w:val="27A11CD4"/>
    <w:rsid w:val="27C719D3"/>
    <w:rsid w:val="27E2170E"/>
    <w:rsid w:val="28096C9A"/>
    <w:rsid w:val="282D19F2"/>
    <w:rsid w:val="284A71D9"/>
    <w:rsid w:val="28537F41"/>
    <w:rsid w:val="285C6DCA"/>
    <w:rsid w:val="286F11F3"/>
    <w:rsid w:val="288700CD"/>
    <w:rsid w:val="28BC3EB3"/>
    <w:rsid w:val="28CD7CC8"/>
    <w:rsid w:val="28DA4193"/>
    <w:rsid w:val="28E505CC"/>
    <w:rsid w:val="2960454B"/>
    <w:rsid w:val="29A924E3"/>
    <w:rsid w:val="2A6615E2"/>
    <w:rsid w:val="2A994714"/>
    <w:rsid w:val="2AA16252"/>
    <w:rsid w:val="2ABE385B"/>
    <w:rsid w:val="2AE9690F"/>
    <w:rsid w:val="2AF6306C"/>
    <w:rsid w:val="2B512E32"/>
    <w:rsid w:val="2B812BF4"/>
    <w:rsid w:val="2BB92785"/>
    <w:rsid w:val="2BBD72B7"/>
    <w:rsid w:val="2C06745C"/>
    <w:rsid w:val="2C315ACD"/>
    <w:rsid w:val="2C412EA7"/>
    <w:rsid w:val="2C496CFD"/>
    <w:rsid w:val="2C6B7F24"/>
    <w:rsid w:val="2C80254B"/>
    <w:rsid w:val="2C8E4225"/>
    <w:rsid w:val="2C98395F"/>
    <w:rsid w:val="2CA227DE"/>
    <w:rsid w:val="2CAE2D34"/>
    <w:rsid w:val="2CC5520C"/>
    <w:rsid w:val="2CDE3F21"/>
    <w:rsid w:val="2CF170E1"/>
    <w:rsid w:val="2D1C42DD"/>
    <w:rsid w:val="2D4671F8"/>
    <w:rsid w:val="2E0C3040"/>
    <w:rsid w:val="2E4F2855"/>
    <w:rsid w:val="2E553D91"/>
    <w:rsid w:val="2E6976F0"/>
    <w:rsid w:val="2E782F24"/>
    <w:rsid w:val="2E8814E5"/>
    <w:rsid w:val="2E8B665B"/>
    <w:rsid w:val="2EB3578B"/>
    <w:rsid w:val="2F236F1F"/>
    <w:rsid w:val="2F927575"/>
    <w:rsid w:val="30234862"/>
    <w:rsid w:val="30416AC1"/>
    <w:rsid w:val="30B52F3C"/>
    <w:rsid w:val="30BA3202"/>
    <w:rsid w:val="3129496F"/>
    <w:rsid w:val="31406FF6"/>
    <w:rsid w:val="31436D79"/>
    <w:rsid w:val="317B6345"/>
    <w:rsid w:val="318179DB"/>
    <w:rsid w:val="318B28BE"/>
    <w:rsid w:val="318B43A9"/>
    <w:rsid w:val="31943F2B"/>
    <w:rsid w:val="31B40181"/>
    <w:rsid w:val="31F167D5"/>
    <w:rsid w:val="31FC70A2"/>
    <w:rsid w:val="321B5F48"/>
    <w:rsid w:val="326660F9"/>
    <w:rsid w:val="32762A85"/>
    <w:rsid w:val="329E179B"/>
    <w:rsid w:val="32E06E71"/>
    <w:rsid w:val="32EC57AB"/>
    <w:rsid w:val="33870F58"/>
    <w:rsid w:val="3390201E"/>
    <w:rsid w:val="33C63C91"/>
    <w:rsid w:val="33E006B7"/>
    <w:rsid w:val="33F5104D"/>
    <w:rsid w:val="342522A9"/>
    <w:rsid w:val="34286323"/>
    <w:rsid w:val="344B6CB2"/>
    <w:rsid w:val="34534084"/>
    <w:rsid w:val="34AA3D3E"/>
    <w:rsid w:val="34CF6379"/>
    <w:rsid w:val="34E174DA"/>
    <w:rsid w:val="34EA5DCD"/>
    <w:rsid w:val="34FF326F"/>
    <w:rsid w:val="35B124A9"/>
    <w:rsid w:val="35C76E87"/>
    <w:rsid w:val="35DE52C2"/>
    <w:rsid w:val="35F25212"/>
    <w:rsid w:val="36136253"/>
    <w:rsid w:val="361460BC"/>
    <w:rsid w:val="36444920"/>
    <w:rsid w:val="36D02B02"/>
    <w:rsid w:val="36F97967"/>
    <w:rsid w:val="37032008"/>
    <w:rsid w:val="37252EA5"/>
    <w:rsid w:val="37290CA3"/>
    <w:rsid w:val="376703B2"/>
    <w:rsid w:val="37A10EAB"/>
    <w:rsid w:val="37AA306C"/>
    <w:rsid w:val="37B3344E"/>
    <w:rsid w:val="37CB1260"/>
    <w:rsid w:val="37CB7AC8"/>
    <w:rsid w:val="38316516"/>
    <w:rsid w:val="383405E9"/>
    <w:rsid w:val="384A30E3"/>
    <w:rsid w:val="38701D47"/>
    <w:rsid w:val="3885408B"/>
    <w:rsid w:val="38A2079E"/>
    <w:rsid w:val="38CD12E4"/>
    <w:rsid w:val="38DB29AC"/>
    <w:rsid w:val="38E00214"/>
    <w:rsid w:val="390334EC"/>
    <w:rsid w:val="397172AB"/>
    <w:rsid w:val="39E24E7C"/>
    <w:rsid w:val="3A26059F"/>
    <w:rsid w:val="3A2F7F3C"/>
    <w:rsid w:val="3A3858CD"/>
    <w:rsid w:val="3A63640C"/>
    <w:rsid w:val="3A8B06F0"/>
    <w:rsid w:val="3A9C74FA"/>
    <w:rsid w:val="3ABE3910"/>
    <w:rsid w:val="3AC3165B"/>
    <w:rsid w:val="3B117EE8"/>
    <w:rsid w:val="3B8577EF"/>
    <w:rsid w:val="3BD11699"/>
    <w:rsid w:val="3C1B39C7"/>
    <w:rsid w:val="3C321681"/>
    <w:rsid w:val="3C3F3B8D"/>
    <w:rsid w:val="3C5F2ED5"/>
    <w:rsid w:val="3CEB2D33"/>
    <w:rsid w:val="3CF539DB"/>
    <w:rsid w:val="3D015D62"/>
    <w:rsid w:val="3D4649CC"/>
    <w:rsid w:val="3D6428FB"/>
    <w:rsid w:val="3D9C6102"/>
    <w:rsid w:val="3DF6646E"/>
    <w:rsid w:val="3E167DC8"/>
    <w:rsid w:val="3E1C1EEA"/>
    <w:rsid w:val="3E285598"/>
    <w:rsid w:val="3E9926CE"/>
    <w:rsid w:val="3F346217"/>
    <w:rsid w:val="3F373CD4"/>
    <w:rsid w:val="3F3D5CD2"/>
    <w:rsid w:val="3F4F0FDF"/>
    <w:rsid w:val="3F6D4434"/>
    <w:rsid w:val="3F805FA3"/>
    <w:rsid w:val="3F890D56"/>
    <w:rsid w:val="3FA7706D"/>
    <w:rsid w:val="3FAA6E66"/>
    <w:rsid w:val="3FCA68B7"/>
    <w:rsid w:val="40153FD6"/>
    <w:rsid w:val="40172C43"/>
    <w:rsid w:val="40352FFA"/>
    <w:rsid w:val="405519F3"/>
    <w:rsid w:val="405745EF"/>
    <w:rsid w:val="406D512F"/>
    <w:rsid w:val="40AA0BC3"/>
    <w:rsid w:val="4110016F"/>
    <w:rsid w:val="41325F33"/>
    <w:rsid w:val="41524843"/>
    <w:rsid w:val="416B7C26"/>
    <w:rsid w:val="41762072"/>
    <w:rsid w:val="418827F1"/>
    <w:rsid w:val="41C056D4"/>
    <w:rsid w:val="41DD75C5"/>
    <w:rsid w:val="41F71F64"/>
    <w:rsid w:val="41FB544E"/>
    <w:rsid w:val="41FD7219"/>
    <w:rsid w:val="42116EB0"/>
    <w:rsid w:val="423339E6"/>
    <w:rsid w:val="424B0183"/>
    <w:rsid w:val="42AB0C22"/>
    <w:rsid w:val="42BD5B38"/>
    <w:rsid w:val="43194F63"/>
    <w:rsid w:val="43314CBB"/>
    <w:rsid w:val="433813C7"/>
    <w:rsid w:val="436864F0"/>
    <w:rsid w:val="43A13233"/>
    <w:rsid w:val="442F1F6C"/>
    <w:rsid w:val="44403607"/>
    <w:rsid w:val="444600F0"/>
    <w:rsid w:val="44697D96"/>
    <w:rsid w:val="44841EDA"/>
    <w:rsid w:val="448F7CE2"/>
    <w:rsid w:val="45135BFA"/>
    <w:rsid w:val="4518244F"/>
    <w:rsid w:val="45677DEC"/>
    <w:rsid w:val="45777A95"/>
    <w:rsid w:val="45C97BE7"/>
    <w:rsid w:val="45D97854"/>
    <w:rsid w:val="45EF06C2"/>
    <w:rsid w:val="45EF25C8"/>
    <w:rsid w:val="460209E3"/>
    <w:rsid w:val="464B53B7"/>
    <w:rsid w:val="46AF2030"/>
    <w:rsid w:val="46FD6E16"/>
    <w:rsid w:val="47024B89"/>
    <w:rsid w:val="47214282"/>
    <w:rsid w:val="4727752E"/>
    <w:rsid w:val="472F2BFF"/>
    <w:rsid w:val="47515971"/>
    <w:rsid w:val="47727F88"/>
    <w:rsid w:val="47A1135D"/>
    <w:rsid w:val="47A63A8C"/>
    <w:rsid w:val="47C974DC"/>
    <w:rsid w:val="47CF40C9"/>
    <w:rsid w:val="480513B9"/>
    <w:rsid w:val="480C00CE"/>
    <w:rsid w:val="487E70A6"/>
    <w:rsid w:val="48B75125"/>
    <w:rsid w:val="48DB7F1A"/>
    <w:rsid w:val="490177EE"/>
    <w:rsid w:val="49041F3C"/>
    <w:rsid w:val="490F7652"/>
    <w:rsid w:val="491868E5"/>
    <w:rsid w:val="497B7EEE"/>
    <w:rsid w:val="498369B9"/>
    <w:rsid w:val="49BE3405"/>
    <w:rsid w:val="49D6134F"/>
    <w:rsid w:val="4A437D74"/>
    <w:rsid w:val="4A4661F6"/>
    <w:rsid w:val="4A586905"/>
    <w:rsid w:val="4A734ECD"/>
    <w:rsid w:val="4AA9311B"/>
    <w:rsid w:val="4AC4285B"/>
    <w:rsid w:val="4B306168"/>
    <w:rsid w:val="4B35024E"/>
    <w:rsid w:val="4B47726B"/>
    <w:rsid w:val="4B49547C"/>
    <w:rsid w:val="4B921420"/>
    <w:rsid w:val="4B9A46EF"/>
    <w:rsid w:val="4C01229D"/>
    <w:rsid w:val="4C135A46"/>
    <w:rsid w:val="4C261360"/>
    <w:rsid w:val="4C421D1C"/>
    <w:rsid w:val="4C8A1D0C"/>
    <w:rsid w:val="4C981A71"/>
    <w:rsid w:val="4CB61504"/>
    <w:rsid w:val="4CC72AFC"/>
    <w:rsid w:val="4CDE72DD"/>
    <w:rsid w:val="4CE622C3"/>
    <w:rsid w:val="4CF431C6"/>
    <w:rsid w:val="4D935DEB"/>
    <w:rsid w:val="4DF43B28"/>
    <w:rsid w:val="4E1944DD"/>
    <w:rsid w:val="4E23419F"/>
    <w:rsid w:val="4E827925"/>
    <w:rsid w:val="4F00694E"/>
    <w:rsid w:val="4F540EDC"/>
    <w:rsid w:val="4F7B197C"/>
    <w:rsid w:val="4F8037FD"/>
    <w:rsid w:val="4FB532D6"/>
    <w:rsid w:val="4FBF66F1"/>
    <w:rsid w:val="4FCB04FF"/>
    <w:rsid w:val="50170EDF"/>
    <w:rsid w:val="50AA6F73"/>
    <w:rsid w:val="50B73BE1"/>
    <w:rsid w:val="50D269EA"/>
    <w:rsid w:val="50EF24C6"/>
    <w:rsid w:val="51151EC6"/>
    <w:rsid w:val="51491623"/>
    <w:rsid w:val="517520C2"/>
    <w:rsid w:val="518826DC"/>
    <w:rsid w:val="51AD185A"/>
    <w:rsid w:val="51B62004"/>
    <w:rsid w:val="51B9305A"/>
    <w:rsid w:val="51EC3A5B"/>
    <w:rsid w:val="51EC498F"/>
    <w:rsid w:val="520926C4"/>
    <w:rsid w:val="52422CAE"/>
    <w:rsid w:val="52680782"/>
    <w:rsid w:val="52700C1C"/>
    <w:rsid w:val="52950A39"/>
    <w:rsid w:val="52E55A8A"/>
    <w:rsid w:val="52F14183"/>
    <w:rsid w:val="533E15B8"/>
    <w:rsid w:val="534906A2"/>
    <w:rsid w:val="535007A2"/>
    <w:rsid w:val="535C0599"/>
    <w:rsid w:val="537137C2"/>
    <w:rsid w:val="537D3F15"/>
    <w:rsid w:val="538E7DC7"/>
    <w:rsid w:val="539D1927"/>
    <w:rsid w:val="53D0747E"/>
    <w:rsid w:val="54363906"/>
    <w:rsid w:val="54514A8C"/>
    <w:rsid w:val="546B4286"/>
    <w:rsid w:val="54980325"/>
    <w:rsid w:val="54987CD5"/>
    <w:rsid w:val="54EB47C3"/>
    <w:rsid w:val="55200FFC"/>
    <w:rsid w:val="55427994"/>
    <w:rsid w:val="554A3E08"/>
    <w:rsid w:val="556427B6"/>
    <w:rsid w:val="5595130D"/>
    <w:rsid w:val="55BB0BEE"/>
    <w:rsid w:val="55EA7834"/>
    <w:rsid w:val="56173446"/>
    <w:rsid w:val="56463DBE"/>
    <w:rsid w:val="5669548D"/>
    <w:rsid w:val="566B15AB"/>
    <w:rsid w:val="56A977EB"/>
    <w:rsid w:val="56F56C74"/>
    <w:rsid w:val="56FD3A23"/>
    <w:rsid w:val="570364AE"/>
    <w:rsid w:val="575670CA"/>
    <w:rsid w:val="578831AC"/>
    <w:rsid w:val="5795154A"/>
    <w:rsid w:val="579E1599"/>
    <w:rsid w:val="57A64C6F"/>
    <w:rsid w:val="57B974C8"/>
    <w:rsid w:val="57DE1966"/>
    <w:rsid w:val="584C4EA9"/>
    <w:rsid w:val="58591997"/>
    <w:rsid w:val="5877197A"/>
    <w:rsid w:val="587924D5"/>
    <w:rsid w:val="589F23E0"/>
    <w:rsid w:val="58B62EEE"/>
    <w:rsid w:val="58DA5965"/>
    <w:rsid w:val="5920214E"/>
    <w:rsid w:val="59401C6C"/>
    <w:rsid w:val="59464DA9"/>
    <w:rsid w:val="594E1CBC"/>
    <w:rsid w:val="597C6CAF"/>
    <w:rsid w:val="59E848C9"/>
    <w:rsid w:val="5A006109"/>
    <w:rsid w:val="5A055DC6"/>
    <w:rsid w:val="5A4B6B1B"/>
    <w:rsid w:val="5A6B38EF"/>
    <w:rsid w:val="5A7140A7"/>
    <w:rsid w:val="5ACA54E8"/>
    <w:rsid w:val="5AE53415"/>
    <w:rsid w:val="5B107E23"/>
    <w:rsid w:val="5B1635FA"/>
    <w:rsid w:val="5B256FB2"/>
    <w:rsid w:val="5BE17A05"/>
    <w:rsid w:val="5BF31218"/>
    <w:rsid w:val="5C39628B"/>
    <w:rsid w:val="5C6909DE"/>
    <w:rsid w:val="5C8A66B7"/>
    <w:rsid w:val="5CC2508E"/>
    <w:rsid w:val="5CCB37B8"/>
    <w:rsid w:val="5CD9198B"/>
    <w:rsid w:val="5CF906A7"/>
    <w:rsid w:val="5D024D94"/>
    <w:rsid w:val="5D025683"/>
    <w:rsid w:val="5D080EC4"/>
    <w:rsid w:val="5D157B54"/>
    <w:rsid w:val="5D1F603D"/>
    <w:rsid w:val="5D3D66C4"/>
    <w:rsid w:val="5D3E6073"/>
    <w:rsid w:val="5D4A31F6"/>
    <w:rsid w:val="5D4F13D6"/>
    <w:rsid w:val="5D650C84"/>
    <w:rsid w:val="5D6A6CDD"/>
    <w:rsid w:val="5D9F2AFC"/>
    <w:rsid w:val="5DA175E1"/>
    <w:rsid w:val="5DB70023"/>
    <w:rsid w:val="5DFB1606"/>
    <w:rsid w:val="5E336D12"/>
    <w:rsid w:val="5E3D582E"/>
    <w:rsid w:val="5E4A0E97"/>
    <w:rsid w:val="5E5E4CA6"/>
    <w:rsid w:val="5E6E5E91"/>
    <w:rsid w:val="5E786B66"/>
    <w:rsid w:val="5E861B0A"/>
    <w:rsid w:val="5EAE1426"/>
    <w:rsid w:val="5EC923F3"/>
    <w:rsid w:val="5F274BFA"/>
    <w:rsid w:val="5F9978D8"/>
    <w:rsid w:val="5FBE6AB6"/>
    <w:rsid w:val="5FC561A9"/>
    <w:rsid w:val="5FC609F2"/>
    <w:rsid w:val="5FE23D7A"/>
    <w:rsid w:val="5FEA5945"/>
    <w:rsid w:val="60085288"/>
    <w:rsid w:val="604A1623"/>
    <w:rsid w:val="609E085F"/>
    <w:rsid w:val="60D56A0D"/>
    <w:rsid w:val="610F588E"/>
    <w:rsid w:val="615755BD"/>
    <w:rsid w:val="616E7DF6"/>
    <w:rsid w:val="61BE4076"/>
    <w:rsid w:val="61C31BB8"/>
    <w:rsid w:val="61C805F0"/>
    <w:rsid w:val="61F10D0C"/>
    <w:rsid w:val="622123B8"/>
    <w:rsid w:val="622A1AC9"/>
    <w:rsid w:val="62331257"/>
    <w:rsid w:val="6241626F"/>
    <w:rsid w:val="62652D27"/>
    <w:rsid w:val="627E55B4"/>
    <w:rsid w:val="62A5744A"/>
    <w:rsid w:val="62C0797A"/>
    <w:rsid w:val="62C32977"/>
    <w:rsid w:val="62D87D1D"/>
    <w:rsid w:val="62DB02BD"/>
    <w:rsid w:val="62E541D8"/>
    <w:rsid w:val="63542F2B"/>
    <w:rsid w:val="637F3940"/>
    <w:rsid w:val="638E5CCA"/>
    <w:rsid w:val="63920DDF"/>
    <w:rsid w:val="63B262AD"/>
    <w:rsid w:val="63CA6882"/>
    <w:rsid w:val="63F21AAD"/>
    <w:rsid w:val="641202B2"/>
    <w:rsid w:val="64160F38"/>
    <w:rsid w:val="64177A6E"/>
    <w:rsid w:val="64414AEB"/>
    <w:rsid w:val="646913FA"/>
    <w:rsid w:val="646B1B68"/>
    <w:rsid w:val="64752E26"/>
    <w:rsid w:val="64780BB7"/>
    <w:rsid w:val="648A1722"/>
    <w:rsid w:val="648C4D5D"/>
    <w:rsid w:val="64C95ACD"/>
    <w:rsid w:val="64D03000"/>
    <w:rsid w:val="654873B2"/>
    <w:rsid w:val="654C39BC"/>
    <w:rsid w:val="65570839"/>
    <w:rsid w:val="65975776"/>
    <w:rsid w:val="65AC0C7F"/>
    <w:rsid w:val="65B26FA9"/>
    <w:rsid w:val="6612374B"/>
    <w:rsid w:val="661811F6"/>
    <w:rsid w:val="662D3D4A"/>
    <w:rsid w:val="6642100B"/>
    <w:rsid w:val="667C378E"/>
    <w:rsid w:val="669923F0"/>
    <w:rsid w:val="66DC4728"/>
    <w:rsid w:val="66ED3B4E"/>
    <w:rsid w:val="670D457F"/>
    <w:rsid w:val="67281F92"/>
    <w:rsid w:val="674A681C"/>
    <w:rsid w:val="676A44D6"/>
    <w:rsid w:val="67870CF0"/>
    <w:rsid w:val="67A63105"/>
    <w:rsid w:val="67D85766"/>
    <w:rsid w:val="67E25842"/>
    <w:rsid w:val="682C160E"/>
    <w:rsid w:val="683E1A6D"/>
    <w:rsid w:val="683F4EEB"/>
    <w:rsid w:val="68873100"/>
    <w:rsid w:val="68884625"/>
    <w:rsid w:val="689038B0"/>
    <w:rsid w:val="68CB4224"/>
    <w:rsid w:val="690507DD"/>
    <w:rsid w:val="692077CC"/>
    <w:rsid w:val="692C3FBB"/>
    <w:rsid w:val="69942523"/>
    <w:rsid w:val="69AA3A6C"/>
    <w:rsid w:val="69F42AF6"/>
    <w:rsid w:val="6A272B57"/>
    <w:rsid w:val="6A5B63D3"/>
    <w:rsid w:val="6A9A7D50"/>
    <w:rsid w:val="6B0812EE"/>
    <w:rsid w:val="6B2F5EF9"/>
    <w:rsid w:val="6B4A4CCE"/>
    <w:rsid w:val="6B604869"/>
    <w:rsid w:val="6BAB4A4B"/>
    <w:rsid w:val="6BAF4A30"/>
    <w:rsid w:val="6BE62102"/>
    <w:rsid w:val="6BF47A4F"/>
    <w:rsid w:val="6C057D56"/>
    <w:rsid w:val="6C1146EC"/>
    <w:rsid w:val="6C385CFA"/>
    <w:rsid w:val="6C477FD0"/>
    <w:rsid w:val="6C63631C"/>
    <w:rsid w:val="6C8765D1"/>
    <w:rsid w:val="6C8859AD"/>
    <w:rsid w:val="6CB2505C"/>
    <w:rsid w:val="6CF070AE"/>
    <w:rsid w:val="6CF667CE"/>
    <w:rsid w:val="6D196605"/>
    <w:rsid w:val="6D2F7C90"/>
    <w:rsid w:val="6D674926"/>
    <w:rsid w:val="6DA00AD4"/>
    <w:rsid w:val="6DA460D9"/>
    <w:rsid w:val="6DB225B5"/>
    <w:rsid w:val="6DD864C0"/>
    <w:rsid w:val="6E31797E"/>
    <w:rsid w:val="6E3F418C"/>
    <w:rsid w:val="6E590B0F"/>
    <w:rsid w:val="6E91666F"/>
    <w:rsid w:val="6EC6793B"/>
    <w:rsid w:val="6EF72766"/>
    <w:rsid w:val="6F1B2009"/>
    <w:rsid w:val="6F3911E0"/>
    <w:rsid w:val="6F84114D"/>
    <w:rsid w:val="6FAC31EF"/>
    <w:rsid w:val="6FB51F21"/>
    <w:rsid w:val="6FCD2D58"/>
    <w:rsid w:val="6FF639E8"/>
    <w:rsid w:val="7031105B"/>
    <w:rsid w:val="70384FF4"/>
    <w:rsid w:val="70582ECD"/>
    <w:rsid w:val="706E310B"/>
    <w:rsid w:val="70FD001F"/>
    <w:rsid w:val="714A0718"/>
    <w:rsid w:val="718319A7"/>
    <w:rsid w:val="71AE162A"/>
    <w:rsid w:val="71AE5E07"/>
    <w:rsid w:val="71D7319F"/>
    <w:rsid w:val="71F51763"/>
    <w:rsid w:val="72182756"/>
    <w:rsid w:val="723146EC"/>
    <w:rsid w:val="72666B1B"/>
    <w:rsid w:val="727362A3"/>
    <w:rsid w:val="727D4545"/>
    <w:rsid w:val="72AB531A"/>
    <w:rsid w:val="72DC390D"/>
    <w:rsid w:val="72E51958"/>
    <w:rsid w:val="72F02ED0"/>
    <w:rsid w:val="72FA1F50"/>
    <w:rsid w:val="72FA2A34"/>
    <w:rsid w:val="733516EC"/>
    <w:rsid w:val="735D2FC3"/>
    <w:rsid w:val="738E5E29"/>
    <w:rsid w:val="73D339E4"/>
    <w:rsid w:val="73E83277"/>
    <w:rsid w:val="745148D6"/>
    <w:rsid w:val="746565D3"/>
    <w:rsid w:val="74B353D1"/>
    <w:rsid w:val="74C4154C"/>
    <w:rsid w:val="74CC5819"/>
    <w:rsid w:val="74D2224D"/>
    <w:rsid w:val="74F62233"/>
    <w:rsid w:val="74F66BC5"/>
    <w:rsid w:val="7503770A"/>
    <w:rsid w:val="750E0E19"/>
    <w:rsid w:val="752F038F"/>
    <w:rsid w:val="7593500E"/>
    <w:rsid w:val="75A769E8"/>
    <w:rsid w:val="75E1612D"/>
    <w:rsid w:val="76253DBA"/>
    <w:rsid w:val="767B4C71"/>
    <w:rsid w:val="76AD7DBE"/>
    <w:rsid w:val="76D13197"/>
    <w:rsid w:val="77341F97"/>
    <w:rsid w:val="77643997"/>
    <w:rsid w:val="779D6176"/>
    <w:rsid w:val="77DF1FC3"/>
    <w:rsid w:val="77E90D83"/>
    <w:rsid w:val="77F12F07"/>
    <w:rsid w:val="781400F4"/>
    <w:rsid w:val="787015E8"/>
    <w:rsid w:val="787924B5"/>
    <w:rsid w:val="78793103"/>
    <w:rsid w:val="78A10E7F"/>
    <w:rsid w:val="78CD6166"/>
    <w:rsid w:val="794B3FEA"/>
    <w:rsid w:val="795C7344"/>
    <w:rsid w:val="795E08F7"/>
    <w:rsid w:val="79773CC8"/>
    <w:rsid w:val="797F093A"/>
    <w:rsid w:val="79A7744F"/>
    <w:rsid w:val="79DB0306"/>
    <w:rsid w:val="79E04E4D"/>
    <w:rsid w:val="79EC62C1"/>
    <w:rsid w:val="7A157D7B"/>
    <w:rsid w:val="7A1C1F48"/>
    <w:rsid w:val="7A7133C2"/>
    <w:rsid w:val="7A813A3B"/>
    <w:rsid w:val="7A8B58A9"/>
    <w:rsid w:val="7A946FC0"/>
    <w:rsid w:val="7B2C0E16"/>
    <w:rsid w:val="7BAC475B"/>
    <w:rsid w:val="7C806AA5"/>
    <w:rsid w:val="7CA0225A"/>
    <w:rsid w:val="7CFB7AD5"/>
    <w:rsid w:val="7D2656E1"/>
    <w:rsid w:val="7D4C70C2"/>
    <w:rsid w:val="7DA76497"/>
    <w:rsid w:val="7E1A30AD"/>
    <w:rsid w:val="7E4E25FA"/>
    <w:rsid w:val="7EC268EB"/>
    <w:rsid w:val="7EC36C3E"/>
    <w:rsid w:val="7F4B06FC"/>
    <w:rsid w:val="7F6615B0"/>
    <w:rsid w:val="7F9B10FB"/>
    <w:rsid w:val="7FA019E9"/>
    <w:rsid w:val="7FE80E5A"/>
    <w:rsid w:val="7FEE4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qFormat="1"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Normal Indent"/>
    <w:basedOn w:val="1"/>
    <w:qFormat/>
    <w:uiPriority w:val="99"/>
    <w:pPr>
      <w:autoSpaceDE w:val="0"/>
      <w:autoSpaceDN w:val="0"/>
      <w:ind w:left="181" w:firstLine="420"/>
    </w:pPr>
    <w:rPr>
      <w:rFonts w:ascii="Calibri" w:hAnsi="Calibri" w:eastAsia="楷体_GB2312"/>
      <w:b/>
      <w:szCs w:val="20"/>
    </w:rPr>
  </w:style>
  <w:style w:type="paragraph" w:styleId="5">
    <w:name w:val="annotation text"/>
    <w:basedOn w:val="1"/>
    <w:link w:val="32"/>
    <w:qFormat/>
    <w:uiPriority w:val="0"/>
  </w:style>
  <w:style w:type="paragraph" w:styleId="6">
    <w:name w:val="Balloon Text"/>
    <w:basedOn w:val="1"/>
    <w:link w:val="28"/>
    <w:qFormat/>
    <w:uiPriority w:val="0"/>
    <w:rPr>
      <w:sz w:val="18"/>
      <w:szCs w:val="18"/>
    </w:rPr>
  </w:style>
  <w:style w:type="paragraph" w:styleId="7">
    <w:name w:val="footer"/>
    <w:basedOn w:val="1"/>
    <w:link w:val="31"/>
    <w:unhideWhenUsed/>
    <w:qFormat/>
    <w:uiPriority w:val="99"/>
    <w:pPr>
      <w:tabs>
        <w:tab w:val="center" w:pos="4153"/>
        <w:tab w:val="right" w:pos="8306"/>
      </w:tabs>
      <w:snapToGrid w:val="0"/>
    </w:pPr>
    <w:rPr>
      <w:sz w:val="18"/>
      <w:szCs w:val="18"/>
    </w:rPr>
  </w:style>
  <w:style w:type="paragraph" w:styleId="8">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4"/>
    <w:basedOn w:val="1"/>
    <w:next w:val="1"/>
    <w:unhideWhenUsed/>
    <w:qFormat/>
    <w:uiPriority w:val="39"/>
    <w:pPr>
      <w:ind w:firstLine="562"/>
    </w:pPr>
    <w:rPr>
      <w:rFonts w:eastAsia="仿宋"/>
      <w:b/>
      <w:szCs w:val="28"/>
    </w:rPr>
  </w:style>
  <w:style w:type="paragraph" w:styleId="11">
    <w:name w:val="table of figures"/>
    <w:basedOn w:val="1"/>
    <w:next w:val="1"/>
    <w:semiHidden/>
    <w:unhideWhenUsed/>
    <w:qFormat/>
    <w:uiPriority w:val="99"/>
    <w:pPr>
      <w:ind w:left="200" w:leftChars="200" w:hanging="200" w:hangingChars="200"/>
    </w:pPr>
  </w:style>
  <w:style w:type="paragraph" w:styleId="12">
    <w:name w:val="toc 2"/>
    <w:basedOn w:val="1"/>
    <w:next w:val="1"/>
    <w:qFormat/>
    <w:uiPriority w:val="39"/>
    <w:pPr>
      <w:ind w:left="420" w:leftChars="200"/>
    </w:pPr>
  </w:style>
  <w:style w:type="paragraph" w:styleId="13">
    <w:name w:val="Normal (Web)"/>
    <w:basedOn w:val="1"/>
    <w:qFormat/>
    <w:uiPriority w:val="0"/>
  </w:style>
  <w:style w:type="paragraph" w:styleId="14">
    <w:name w:val="annotation subject"/>
    <w:basedOn w:val="5"/>
    <w:next w:val="5"/>
    <w:link w:val="33"/>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026E5"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paragraph" w:customStyle="1" w:styleId="20">
    <w:name w:val="BodyText1I2"/>
    <w:basedOn w:val="21"/>
    <w:qFormat/>
    <w:locked/>
    <w:uiPriority w:val="0"/>
    <w:pPr>
      <w:ind w:firstLine="420" w:firstLineChars="200"/>
    </w:pPr>
  </w:style>
  <w:style w:type="paragraph" w:customStyle="1" w:styleId="21">
    <w:name w:val="BodyTextIndent"/>
    <w:basedOn w:val="1"/>
    <w:qFormat/>
    <w:locked/>
    <w:uiPriority w:val="0"/>
    <w:pPr>
      <w:spacing w:after="120"/>
      <w:ind w:left="420" w:leftChars="200"/>
      <w:jc w:val="both"/>
      <w:textAlignment w:val="baseline"/>
    </w:pPr>
  </w:style>
  <w:style w:type="paragraph" w:styleId="22">
    <w:name w:val="List Paragraph"/>
    <w:basedOn w:val="1"/>
    <w:qFormat/>
    <w:uiPriority w:val="34"/>
    <w:pPr>
      <w:ind w:firstLine="420" w:firstLineChars="200"/>
    </w:pPr>
  </w:style>
  <w:style w:type="paragraph" w:customStyle="1" w:styleId="23">
    <w:name w:val="WPSOffice手动目录 1"/>
    <w:qFormat/>
    <w:uiPriority w:val="0"/>
    <w:rPr>
      <w:rFonts w:asciiTheme="minorHAnsi" w:hAnsiTheme="minorHAnsi" w:eastAsiaTheme="minorEastAsia" w:cstheme="minorBidi"/>
      <w:lang w:val="en-US" w:eastAsia="zh-CN" w:bidi="ar-SA"/>
    </w:rPr>
  </w:style>
  <w:style w:type="paragraph" w:customStyle="1" w:styleId="24">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5">
    <w:name w:val="font11"/>
    <w:basedOn w:val="17"/>
    <w:qFormat/>
    <w:uiPriority w:val="0"/>
    <w:rPr>
      <w:rFonts w:hint="eastAsia" w:ascii="仿宋_GB2312" w:eastAsia="仿宋_GB2312" w:cs="仿宋_GB2312"/>
      <w:color w:val="000000"/>
      <w:sz w:val="28"/>
      <w:szCs w:val="28"/>
      <w:u w:val="none"/>
    </w:rPr>
  </w:style>
  <w:style w:type="paragraph" w:customStyle="1" w:styleId="26">
    <w:name w:val="正文 仿宋 小三"/>
    <w:basedOn w:val="1"/>
    <w:qFormat/>
    <w:uiPriority w:val="0"/>
    <w:pPr>
      <w:adjustRightInd w:val="0"/>
      <w:ind w:firstLine="600" w:firstLineChars="200"/>
    </w:pPr>
    <w:rPr>
      <w:rFonts w:eastAsia="仿宋"/>
      <w:sz w:val="28"/>
      <w:szCs w:val="30"/>
    </w:rPr>
  </w:style>
  <w:style w:type="paragraph" w:customStyle="1" w:styleId="27">
    <w:name w:val="正文2"/>
    <w:basedOn w:val="1"/>
    <w:qFormat/>
    <w:uiPriority w:val="0"/>
    <w:pPr>
      <w:adjustRightInd w:val="0"/>
      <w:spacing w:line="315" w:lineRule="atLeast"/>
      <w:ind w:firstLine="200" w:firstLineChars="200"/>
      <w:textAlignment w:val="baseline"/>
    </w:pPr>
    <w:rPr>
      <w:rFonts w:ascii="宋体"/>
    </w:rPr>
  </w:style>
  <w:style w:type="character" w:customStyle="1" w:styleId="28">
    <w:name w:val="批注框文本 Char"/>
    <w:basedOn w:val="17"/>
    <w:link w:val="6"/>
    <w:qFormat/>
    <w:uiPriority w:val="0"/>
    <w:rPr>
      <w:sz w:val="18"/>
      <w:szCs w:val="18"/>
    </w:rPr>
  </w:style>
  <w:style w:type="paragraph" w:customStyle="1" w:styleId="29">
    <w:name w:val="Default"/>
    <w:qFormat/>
    <w:uiPriority w:val="0"/>
    <w:pPr>
      <w:widowControl w:val="0"/>
      <w:autoSpaceDE w:val="0"/>
      <w:autoSpaceDN w:val="0"/>
      <w:adjustRightInd w:val="0"/>
    </w:pPr>
    <w:rPr>
      <w:rFonts w:ascii="方正仿宋_GBK" w:hAnsi="方正仿宋_GBK" w:eastAsia="宋体" w:cs="方正仿宋_GBK"/>
      <w:color w:val="000000"/>
      <w:sz w:val="24"/>
      <w:szCs w:val="24"/>
      <w:lang w:val="en-US" w:eastAsia="zh-CN" w:bidi="ar-SA"/>
    </w:rPr>
  </w:style>
  <w:style w:type="character" w:customStyle="1" w:styleId="30">
    <w:name w:val="页眉 Char"/>
    <w:basedOn w:val="17"/>
    <w:link w:val="8"/>
    <w:qFormat/>
    <w:uiPriority w:val="0"/>
    <w:rPr>
      <w:sz w:val="18"/>
      <w:szCs w:val="18"/>
    </w:rPr>
  </w:style>
  <w:style w:type="character" w:customStyle="1" w:styleId="31">
    <w:name w:val="页脚 Char"/>
    <w:basedOn w:val="17"/>
    <w:link w:val="7"/>
    <w:qFormat/>
    <w:uiPriority w:val="99"/>
    <w:rPr>
      <w:sz w:val="18"/>
      <w:szCs w:val="18"/>
    </w:rPr>
  </w:style>
  <w:style w:type="character" w:customStyle="1" w:styleId="32">
    <w:name w:val="批注文字 Char"/>
    <w:basedOn w:val="17"/>
    <w:link w:val="5"/>
    <w:qFormat/>
    <w:uiPriority w:val="0"/>
    <w:rPr>
      <w:sz w:val="24"/>
      <w:szCs w:val="24"/>
    </w:rPr>
  </w:style>
  <w:style w:type="character" w:customStyle="1" w:styleId="33">
    <w:name w:val="批注主题 Char"/>
    <w:basedOn w:val="32"/>
    <w:link w:val="14"/>
    <w:qFormat/>
    <w:uiPriority w:val="0"/>
    <w:rPr>
      <w:b/>
      <w:bCs/>
      <w:sz w:val="24"/>
      <w:szCs w:val="24"/>
    </w:rPr>
  </w:style>
  <w:style w:type="paragraph" w:customStyle="1" w:styleId="34">
    <w:name w:val="修订1"/>
    <w:hidden/>
    <w:unhideWhenUsed/>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69</Pages>
  <Words>9355</Words>
  <Characters>10403</Characters>
  <Lines>254</Lines>
  <Paragraphs>71</Paragraphs>
  <TotalTime>107</TotalTime>
  <ScaleCrop>false</ScaleCrop>
  <LinksUpToDate>false</LinksUpToDate>
  <CharactersWithSpaces>10523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2024-05-29T08:57:00Z</dcterms:created>
  <dc:creator>Zhu</dc:creator>
  <cp:lastModifiedBy>金角大王</cp:lastModifiedBy>
  <dcterms:modified xsi:type="dcterms:W3CDTF">2025-02-06T09:35:46Z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AEBBEE4A04D940F68E71BDC2465F7CDE_13</vt:lpwstr>
  </property>
  <property fmtid="{D5CDD505-2E9C-101B-9397-08002B2CF9AE}" pid="4" name="KSOTemplateDocerSaveRecord">
    <vt:lpwstr>eyJoZGlkIjoiYjA3NTU3OGMwYjI5OThlYzVlOWY5YzBlODA5NDc1YWQiLCJ1c2VySWQiOiIzNzYyNDY5MzMifQ==</vt:lpwstr>
  </property>
</Properties>
</file>